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96706">
      <w:pPr>
        <w:tabs>
          <w:tab w:val="left" w:pos="315"/>
          <w:tab w:val="left" w:pos="8820"/>
        </w:tabs>
        <w:spacing w:before="240" w:beforeLines="100" w:after="120" w:afterLines="50" w:line="500" w:lineRule="exact"/>
        <w:ind w:right="267" w:rightChars="127"/>
        <w:jc w:val="both"/>
        <w:rPr>
          <w:rFonts w:hint="eastAsia" w:ascii="宋体" w:hAnsi="宋体" w:eastAsia="宋体"/>
          <w:b/>
          <w:bCs/>
          <w:color w:val="auto"/>
          <w:sz w:val="52"/>
          <w:szCs w:val="52"/>
          <w:highlight w:val="none"/>
          <w:lang w:eastAsia="zh-CN"/>
        </w:rPr>
      </w:pPr>
    </w:p>
    <w:p w14:paraId="42379CDF">
      <w:pPr>
        <w:keepNext w:val="0"/>
        <w:keepLines w:val="0"/>
        <w:pageBreakBefore w:val="0"/>
        <w:widowControl w:val="0"/>
        <w:tabs>
          <w:tab w:val="left" w:pos="315"/>
          <w:tab w:val="left" w:pos="8820"/>
        </w:tabs>
        <w:kinsoku/>
        <w:wordWrap/>
        <w:overflowPunct/>
        <w:topLinePunct w:val="0"/>
        <w:autoSpaceDE/>
        <w:autoSpaceDN/>
        <w:bidi w:val="0"/>
        <w:adjustRightInd/>
        <w:snapToGrid/>
        <w:spacing w:before="312" w:beforeLines="100" w:after="156" w:afterLines="50" w:line="700" w:lineRule="exact"/>
        <w:ind w:right="267" w:rightChars="127"/>
        <w:jc w:val="center"/>
        <w:textAlignment w:val="auto"/>
        <w:rPr>
          <w:rFonts w:hint="eastAsia" w:ascii="宋体" w:hAnsi="宋体" w:eastAsia="宋体"/>
          <w:b/>
          <w:bCs/>
          <w:color w:val="auto"/>
          <w:sz w:val="52"/>
          <w:szCs w:val="52"/>
          <w:highlight w:val="none"/>
        </w:rPr>
      </w:pPr>
      <w:bookmarkStart w:id="0" w:name="_Hlk9544796"/>
      <w:r>
        <w:rPr>
          <w:rFonts w:hint="eastAsia" w:ascii="宋体" w:hAnsi="宋体"/>
          <w:b/>
          <w:bCs/>
          <w:color w:val="auto"/>
          <w:sz w:val="52"/>
          <w:szCs w:val="52"/>
          <w:highlight w:val="none"/>
          <w:lang w:val="en-US" w:eastAsia="zh-CN"/>
        </w:rPr>
        <w:t>发包</w:t>
      </w:r>
      <w:r>
        <w:rPr>
          <w:rFonts w:hint="eastAsia" w:ascii="宋体" w:hAnsi="宋体" w:eastAsia="宋体"/>
          <w:b/>
          <w:bCs/>
          <w:color w:val="auto"/>
          <w:sz w:val="52"/>
          <w:szCs w:val="52"/>
          <w:highlight w:val="none"/>
        </w:rPr>
        <w:t>文件</w:t>
      </w:r>
    </w:p>
    <w:bookmarkEnd w:id="0"/>
    <w:p w14:paraId="4CDB7BF6">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0"/>
          <w:szCs w:val="40"/>
          <w:highlight w:val="none"/>
          <w:lang w:eastAsia="zh-CN"/>
        </w:rPr>
      </w:pPr>
    </w:p>
    <w:p w14:paraId="48EC32F9">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0"/>
          <w:szCs w:val="40"/>
          <w:highlight w:val="none"/>
          <w:lang w:eastAsia="zh-CN"/>
        </w:rPr>
      </w:pPr>
    </w:p>
    <w:p w14:paraId="37BDB822">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0"/>
          <w:szCs w:val="40"/>
          <w:highlight w:val="none"/>
          <w:lang w:eastAsia="zh-CN"/>
        </w:rPr>
      </w:pPr>
    </w:p>
    <w:p w14:paraId="0A73C3D5">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0"/>
          <w:szCs w:val="40"/>
          <w:highlight w:val="none"/>
          <w:lang w:eastAsia="zh-CN"/>
        </w:rPr>
      </w:pPr>
    </w:p>
    <w:p w14:paraId="45FDACB1">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0"/>
          <w:szCs w:val="40"/>
          <w:highlight w:val="none"/>
          <w:lang w:eastAsia="zh-CN"/>
        </w:rPr>
      </w:pPr>
    </w:p>
    <w:p w14:paraId="606D4077">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lang w:val="en-US" w:eastAsia="zh-CN"/>
        </w:rPr>
        <w:t>服务类</w:t>
      </w:r>
      <w:r>
        <w:rPr>
          <w:rFonts w:hint="eastAsia" w:ascii="宋体" w:hAnsi="宋体" w:eastAsia="宋体" w:cs="宋体"/>
          <w:b/>
          <w:bCs/>
          <w:color w:val="auto"/>
          <w:sz w:val="36"/>
          <w:szCs w:val="36"/>
          <w:highlight w:val="none"/>
          <w:lang w:eastAsia="zh-CN"/>
        </w:rPr>
        <w:t>）</w:t>
      </w:r>
    </w:p>
    <w:p w14:paraId="569EA9EF">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2B1A178B">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7CB2010E">
      <w:pPr>
        <w:tabs>
          <w:tab w:val="left" w:pos="315"/>
          <w:tab w:val="left" w:pos="8820"/>
        </w:tabs>
        <w:spacing w:before="240" w:beforeLines="100" w:after="120" w:afterLines="50" w:line="500" w:lineRule="exact"/>
        <w:ind w:right="267" w:rightChars="127"/>
        <w:jc w:val="both"/>
        <w:rPr>
          <w:rFonts w:ascii="宋体" w:hAnsi="宋体" w:eastAsia="宋体"/>
          <w:b/>
          <w:bCs/>
          <w:color w:val="auto"/>
          <w:sz w:val="44"/>
          <w:szCs w:val="44"/>
          <w:highlight w:val="none"/>
        </w:rPr>
      </w:pPr>
    </w:p>
    <w:p w14:paraId="2587196F">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7A25D2CB">
      <w:pPr>
        <w:tabs>
          <w:tab w:val="left" w:pos="2410"/>
        </w:tabs>
        <w:autoSpaceDE w:val="0"/>
        <w:autoSpaceDN w:val="0"/>
        <w:adjustRightInd w:val="0"/>
        <w:snapToGrid w:val="0"/>
        <w:spacing w:line="480" w:lineRule="auto"/>
        <w:ind w:firstLine="723" w:firstLineChars="200"/>
        <w:rPr>
          <w:rFonts w:hint="eastAsia" w:ascii="宋体" w:hAnsi="宋体" w:eastAsia="宋体"/>
          <w:b/>
          <w:color w:val="auto"/>
          <w:spacing w:val="20"/>
          <w:kern w:val="0"/>
          <w:sz w:val="32"/>
          <w:szCs w:val="32"/>
          <w:highlight w:val="none"/>
          <w:lang w:eastAsia="zh-CN"/>
        </w:rPr>
      </w:pPr>
      <w:r>
        <w:rPr>
          <w:rFonts w:hint="eastAsia" w:ascii="宋体" w:hAnsi="宋体" w:eastAsia="宋体"/>
          <w:b/>
          <w:color w:val="auto"/>
          <w:spacing w:val="20"/>
          <w:kern w:val="0"/>
          <w:sz w:val="32"/>
          <w:szCs w:val="32"/>
          <w:highlight w:val="none"/>
        </w:rPr>
        <w:t>项目名称：</w:t>
      </w:r>
      <w:r>
        <w:rPr>
          <w:rFonts w:hint="eastAsia" w:ascii="宋体" w:hAnsi="宋体"/>
          <w:b/>
          <w:color w:val="auto"/>
          <w:spacing w:val="20"/>
          <w:kern w:val="0"/>
          <w:sz w:val="32"/>
          <w:szCs w:val="32"/>
          <w:highlight w:val="none"/>
          <w:lang w:eastAsia="zh-CN"/>
        </w:rPr>
        <w:t>六安市城乡居民医保缴费券服务项目</w:t>
      </w:r>
    </w:p>
    <w:p w14:paraId="379F0710">
      <w:pPr>
        <w:tabs>
          <w:tab w:val="left" w:pos="2410"/>
        </w:tabs>
        <w:autoSpaceDE w:val="0"/>
        <w:autoSpaceDN w:val="0"/>
        <w:adjustRightInd w:val="0"/>
        <w:snapToGrid w:val="0"/>
        <w:spacing w:line="480" w:lineRule="auto"/>
        <w:ind w:firstLine="723" w:firstLineChars="200"/>
        <w:rPr>
          <w:rFonts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项目编号：AHLT-2026159</w:t>
      </w:r>
      <w:bookmarkStart w:id="111" w:name="_GoBack"/>
      <w:bookmarkEnd w:id="111"/>
    </w:p>
    <w:p w14:paraId="5629C4D6">
      <w:pPr>
        <w:tabs>
          <w:tab w:val="left" w:pos="2410"/>
        </w:tabs>
        <w:autoSpaceDE w:val="0"/>
        <w:autoSpaceDN w:val="0"/>
        <w:adjustRightInd w:val="0"/>
        <w:snapToGrid w:val="0"/>
        <w:spacing w:line="480" w:lineRule="auto"/>
        <w:ind w:firstLine="723" w:firstLineChars="200"/>
        <w:rPr>
          <w:rFonts w:ascii="宋体" w:hAnsi="宋体" w:eastAsia="宋体"/>
          <w:b/>
          <w:color w:val="auto"/>
          <w:spacing w:val="20"/>
          <w:kern w:val="0"/>
          <w:sz w:val="32"/>
          <w:szCs w:val="32"/>
          <w:highlight w:val="none"/>
        </w:rPr>
      </w:pPr>
      <w:r>
        <w:rPr>
          <w:rFonts w:hint="eastAsia" w:ascii="宋体" w:hAnsi="宋体"/>
          <w:b/>
          <w:color w:val="auto"/>
          <w:spacing w:val="20"/>
          <w:kern w:val="0"/>
          <w:sz w:val="32"/>
          <w:szCs w:val="32"/>
          <w:highlight w:val="none"/>
          <w:lang w:val="en-US" w:eastAsia="zh-CN"/>
        </w:rPr>
        <w:t>发</w:t>
      </w:r>
      <w:r>
        <w:rPr>
          <w:rFonts w:hint="eastAsia" w:ascii="宋体" w:hAnsi="宋体" w:eastAsia="宋体"/>
          <w:b/>
          <w:color w:val="auto"/>
          <w:spacing w:val="20"/>
          <w:kern w:val="0"/>
          <w:sz w:val="32"/>
          <w:szCs w:val="32"/>
          <w:highlight w:val="none"/>
        </w:rPr>
        <w:t xml:space="preserve"> </w:t>
      </w:r>
      <w:r>
        <w:rPr>
          <w:rFonts w:hint="eastAsia" w:ascii="宋体" w:hAnsi="宋体"/>
          <w:b/>
          <w:color w:val="auto"/>
          <w:spacing w:val="20"/>
          <w:kern w:val="0"/>
          <w:sz w:val="32"/>
          <w:szCs w:val="32"/>
          <w:highlight w:val="none"/>
          <w:lang w:val="en-US" w:eastAsia="zh-CN"/>
        </w:rPr>
        <w:t>包</w:t>
      </w:r>
      <w:r>
        <w:rPr>
          <w:rFonts w:hint="eastAsia" w:ascii="宋体" w:hAnsi="宋体" w:eastAsia="宋体"/>
          <w:b/>
          <w:color w:val="auto"/>
          <w:spacing w:val="20"/>
          <w:kern w:val="0"/>
          <w:sz w:val="32"/>
          <w:szCs w:val="32"/>
          <w:highlight w:val="none"/>
        </w:rPr>
        <w:t xml:space="preserve"> 人：</w:t>
      </w:r>
      <w:r>
        <w:rPr>
          <w:rFonts w:hint="eastAsia" w:ascii="宋体" w:hAnsi="宋体" w:cs="@仿宋_GB2312"/>
          <w:b/>
          <w:color w:val="auto"/>
          <w:spacing w:val="20"/>
          <w:kern w:val="0"/>
          <w:sz w:val="32"/>
          <w:szCs w:val="32"/>
          <w:highlight w:val="none"/>
          <w:lang w:eastAsia="zh-CN"/>
        </w:rPr>
        <w:t>六安市医疗保障局</w:t>
      </w:r>
    </w:p>
    <w:p w14:paraId="14522990">
      <w:pPr>
        <w:tabs>
          <w:tab w:val="left" w:pos="2410"/>
        </w:tabs>
        <w:autoSpaceDE w:val="0"/>
        <w:autoSpaceDN w:val="0"/>
        <w:adjustRightInd w:val="0"/>
        <w:snapToGrid w:val="0"/>
        <w:spacing w:line="480" w:lineRule="auto"/>
        <w:ind w:firstLine="723" w:firstLineChars="200"/>
        <w:rPr>
          <w:rFonts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代理机构：安徽省六投项目管理有限公司</w:t>
      </w:r>
    </w:p>
    <w:p w14:paraId="6B144994">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52A1446F">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b/>
          <w:color w:val="auto"/>
          <w:sz w:val="36"/>
          <w:highlight w:val="none"/>
          <w:u w:val="single"/>
          <w:lang w:val="en-US" w:eastAsia="zh-CN"/>
        </w:rPr>
        <w:t>10</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3C5C8498">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p>
    <w:p w14:paraId="20A4E3D3">
      <w:pPr>
        <w:tabs>
          <w:tab w:val="left" w:pos="2410"/>
        </w:tabs>
        <w:autoSpaceDE w:val="0"/>
        <w:autoSpaceDN w:val="0"/>
        <w:adjustRightInd w:val="0"/>
        <w:snapToGrid w:val="0"/>
        <w:spacing w:line="360" w:lineRule="auto"/>
        <w:jc w:val="center"/>
        <w:rPr>
          <w:rFonts w:ascii="宋体" w:hAnsi="宋体" w:eastAsia="宋体"/>
          <w:b/>
          <w:color w:val="auto"/>
          <w:sz w:val="40"/>
          <w:szCs w:val="24"/>
          <w:highlight w:val="none"/>
        </w:rPr>
      </w:pPr>
      <w:r>
        <w:rPr>
          <w:rFonts w:hint="eastAsia" w:ascii="宋体" w:hAnsi="宋体" w:eastAsia="宋体"/>
          <w:b/>
          <w:color w:val="auto"/>
          <w:sz w:val="40"/>
          <w:szCs w:val="24"/>
          <w:highlight w:val="none"/>
        </w:rPr>
        <w:t>目  录</w:t>
      </w:r>
    </w:p>
    <w:p w14:paraId="4460FC6A">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p>
    <w:p w14:paraId="11814F17">
      <w:pPr>
        <w:pStyle w:val="18"/>
        <w:tabs>
          <w:tab w:val="right" w:leader="dot" w:pos="8279"/>
        </w:tabs>
        <w:spacing w:line="360" w:lineRule="auto"/>
        <w:rPr>
          <w:color w:val="auto"/>
          <w:sz w:val="28"/>
          <w:szCs w:val="28"/>
          <w:highlight w:val="none"/>
        </w:rPr>
      </w:pPr>
      <w:r>
        <w:rPr>
          <w:rFonts w:asciiTheme="minorEastAsia" w:hAnsiTheme="minorEastAsia"/>
          <w:b/>
          <w:bCs/>
          <w:color w:val="auto"/>
          <w:sz w:val="28"/>
          <w:szCs w:val="28"/>
          <w:highlight w:val="none"/>
        </w:rPr>
        <w:fldChar w:fldCharType="begin"/>
      </w:r>
      <w:r>
        <w:rPr>
          <w:rFonts w:asciiTheme="minorEastAsia" w:hAnsiTheme="minorEastAsia"/>
          <w:b/>
          <w:bCs/>
          <w:color w:val="auto"/>
          <w:sz w:val="28"/>
          <w:szCs w:val="28"/>
          <w:highlight w:val="none"/>
        </w:rPr>
        <w:instrText xml:space="preserve"> </w:instrText>
      </w:r>
      <w:r>
        <w:rPr>
          <w:rFonts w:hint="eastAsia" w:asciiTheme="minorEastAsia" w:hAnsiTheme="minorEastAsia"/>
          <w:b/>
          <w:bCs/>
          <w:color w:val="auto"/>
          <w:sz w:val="28"/>
          <w:szCs w:val="28"/>
          <w:highlight w:val="none"/>
        </w:rPr>
        <w:instrText xml:space="preserve">TOC \o "1-2" \h \z \u</w:instrText>
      </w:r>
      <w:r>
        <w:rPr>
          <w:rFonts w:asciiTheme="minorEastAsia" w:hAnsiTheme="minorEastAsia"/>
          <w:b/>
          <w:bCs/>
          <w:color w:val="auto"/>
          <w:sz w:val="28"/>
          <w:szCs w:val="28"/>
          <w:highlight w:val="none"/>
        </w:rPr>
        <w:instrText xml:space="preserve"> </w:instrText>
      </w:r>
      <w:r>
        <w:rPr>
          <w:rFonts w:asciiTheme="minorEastAsia" w:hAnsiTheme="minorEastAsia"/>
          <w:b/>
          <w:bCs/>
          <w:color w:val="auto"/>
          <w:sz w:val="28"/>
          <w:szCs w:val="28"/>
          <w:highlight w:val="none"/>
        </w:rPr>
        <w:fldChar w:fldCharType="separate"/>
      </w: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_Toc30910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 xml:space="preserve">第一章 </w:t>
      </w:r>
      <w:r>
        <w:rPr>
          <w:rFonts w:asciiTheme="minorEastAsia" w:hAnsiTheme="minorEastAsia" w:eastAsiaTheme="minorEastAsia"/>
          <w:color w:val="auto"/>
          <w:sz w:val="28"/>
          <w:szCs w:val="28"/>
          <w:highlight w:val="none"/>
        </w:rPr>
        <w:t xml:space="preserve"> </w:t>
      </w:r>
      <w:r>
        <w:rPr>
          <w:rFonts w:hint="eastAsia" w:asciiTheme="minorEastAsia" w:hAnsiTheme="minorEastAsia"/>
          <w:color w:val="auto"/>
          <w:sz w:val="28"/>
          <w:szCs w:val="28"/>
          <w:highlight w:val="none"/>
          <w:lang w:val="en-US" w:eastAsia="zh-CN"/>
        </w:rPr>
        <w:t>发包公告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_Toc30910 \h </w:instrText>
      </w:r>
      <w:r>
        <w:rPr>
          <w:color w:val="auto"/>
          <w:sz w:val="28"/>
          <w:szCs w:val="28"/>
          <w:highlight w:val="none"/>
        </w:rPr>
        <w:fldChar w:fldCharType="separate"/>
      </w:r>
      <w:r>
        <w:rPr>
          <w:color w:val="auto"/>
          <w:sz w:val="28"/>
          <w:szCs w:val="28"/>
          <w:highlight w:val="none"/>
        </w:rPr>
        <w:t>3</w:t>
      </w:r>
      <w:r>
        <w:rPr>
          <w:color w:val="auto"/>
          <w:sz w:val="28"/>
          <w:szCs w:val="28"/>
          <w:highlight w:val="none"/>
        </w:rPr>
        <w:fldChar w:fldCharType="end"/>
      </w:r>
      <w:r>
        <w:rPr>
          <w:rFonts w:asciiTheme="minorEastAsia" w:hAnsiTheme="minorEastAsia"/>
          <w:bCs/>
          <w:color w:val="auto"/>
          <w:sz w:val="28"/>
          <w:szCs w:val="28"/>
          <w:highlight w:val="none"/>
        </w:rPr>
        <w:fldChar w:fldCharType="end"/>
      </w:r>
    </w:p>
    <w:p w14:paraId="60F87918">
      <w:pPr>
        <w:pStyle w:val="18"/>
        <w:tabs>
          <w:tab w:val="right" w:leader="dot" w:pos="8279"/>
        </w:tabs>
        <w:spacing w:line="360" w:lineRule="auto"/>
        <w:rPr>
          <w:color w:val="auto"/>
          <w:sz w:val="28"/>
          <w:szCs w:val="28"/>
          <w:highlight w:val="none"/>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_Toc14251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第二章</w:t>
      </w:r>
      <w:r>
        <w:rPr>
          <w:rFonts w:asciiTheme="minorEastAsia" w:hAnsiTheme="minorEastAsia" w:eastAsiaTheme="minorEastAsia"/>
          <w:color w:val="auto"/>
          <w:sz w:val="28"/>
          <w:szCs w:val="28"/>
          <w:highlight w:val="none"/>
        </w:rPr>
        <w:t xml:space="preserve"> </w:t>
      </w:r>
      <w:r>
        <w:rPr>
          <w:rFonts w:hint="eastAsia" w:asciiTheme="minorEastAsia" w:hAnsiTheme="minorEastAsia" w:eastAsiaTheme="minorEastAsia"/>
          <w:color w:val="auto"/>
          <w:sz w:val="28"/>
          <w:szCs w:val="28"/>
          <w:highlight w:val="none"/>
        </w:rPr>
        <w:t xml:space="preserve"> 供应商</w:t>
      </w:r>
      <w:r>
        <w:rPr>
          <w:rFonts w:asciiTheme="minorEastAsia" w:hAnsiTheme="minorEastAsia" w:eastAsiaTheme="minorEastAsia"/>
          <w:color w:val="auto"/>
          <w:sz w:val="28"/>
          <w:szCs w:val="28"/>
          <w:highlight w:val="none"/>
        </w:rPr>
        <w:t>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_Toc14251 \h </w:instrText>
      </w:r>
      <w:r>
        <w:rPr>
          <w:color w:val="auto"/>
          <w:sz w:val="28"/>
          <w:szCs w:val="28"/>
          <w:highlight w:val="none"/>
        </w:rPr>
        <w:fldChar w:fldCharType="separate"/>
      </w:r>
      <w:r>
        <w:rPr>
          <w:color w:val="auto"/>
          <w:sz w:val="28"/>
          <w:szCs w:val="28"/>
          <w:highlight w:val="none"/>
        </w:rPr>
        <w:t>8</w:t>
      </w:r>
      <w:r>
        <w:rPr>
          <w:color w:val="auto"/>
          <w:sz w:val="28"/>
          <w:szCs w:val="28"/>
          <w:highlight w:val="none"/>
        </w:rPr>
        <w:fldChar w:fldCharType="end"/>
      </w:r>
      <w:r>
        <w:rPr>
          <w:rFonts w:asciiTheme="minorEastAsia" w:hAnsiTheme="minorEastAsia"/>
          <w:bCs/>
          <w:color w:val="auto"/>
          <w:sz w:val="28"/>
          <w:szCs w:val="28"/>
          <w:highlight w:val="none"/>
        </w:rPr>
        <w:fldChar w:fldCharType="end"/>
      </w:r>
    </w:p>
    <w:p w14:paraId="312CB88F">
      <w:pPr>
        <w:pStyle w:val="18"/>
        <w:tabs>
          <w:tab w:val="right" w:leader="dot" w:pos="8279"/>
        </w:tabs>
        <w:spacing w:line="360" w:lineRule="auto"/>
        <w:rPr>
          <w:color w:val="auto"/>
          <w:sz w:val="28"/>
          <w:szCs w:val="28"/>
          <w:highlight w:val="none"/>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_Toc19656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第三章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_Toc19656 \h </w:instrText>
      </w:r>
      <w:r>
        <w:rPr>
          <w:color w:val="auto"/>
          <w:sz w:val="28"/>
          <w:szCs w:val="28"/>
          <w:highlight w:val="none"/>
        </w:rPr>
        <w:fldChar w:fldCharType="separate"/>
      </w:r>
      <w:r>
        <w:rPr>
          <w:color w:val="auto"/>
          <w:sz w:val="28"/>
          <w:szCs w:val="28"/>
          <w:highlight w:val="none"/>
        </w:rPr>
        <w:t>25</w:t>
      </w:r>
      <w:r>
        <w:rPr>
          <w:color w:val="auto"/>
          <w:sz w:val="28"/>
          <w:szCs w:val="28"/>
          <w:highlight w:val="none"/>
        </w:rPr>
        <w:fldChar w:fldCharType="end"/>
      </w:r>
      <w:r>
        <w:rPr>
          <w:rFonts w:asciiTheme="minorEastAsia" w:hAnsiTheme="minorEastAsia"/>
          <w:bCs/>
          <w:color w:val="auto"/>
          <w:sz w:val="28"/>
          <w:szCs w:val="28"/>
          <w:highlight w:val="none"/>
        </w:rPr>
        <w:fldChar w:fldCharType="end"/>
      </w:r>
    </w:p>
    <w:p w14:paraId="513DFE29">
      <w:pPr>
        <w:pStyle w:val="18"/>
        <w:tabs>
          <w:tab w:val="right" w:leader="dot" w:pos="8279"/>
        </w:tabs>
        <w:spacing w:line="360" w:lineRule="auto"/>
        <w:rPr>
          <w:color w:val="auto"/>
          <w:sz w:val="28"/>
          <w:szCs w:val="28"/>
          <w:highlight w:val="none"/>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_Toc9944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第四章  评审方法和标准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_Toc9944 \h </w:instrText>
      </w:r>
      <w:r>
        <w:rPr>
          <w:color w:val="auto"/>
          <w:sz w:val="28"/>
          <w:szCs w:val="28"/>
          <w:highlight w:val="none"/>
        </w:rPr>
        <w:fldChar w:fldCharType="separate"/>
      </w:r>
      <w:r>
        <w:rPr>
          <w:color w:val="auto"/>
          <w:sz w:val="28"/>
          <w:szCs w:val="28"/>
          <w:highlight w:val="none"/>
        </w:rPr>
        <w:t>27</w:t>
      </w:r>
      <w:r>
        <w:rPr>
          <w:color w:val="auto"/>
          <w:sz w:val="28"/>
          <w:szCs w:val="28"/>
          <w:highlight w:val="none"/>
        </w:rPr>
        <w:fldChar w:fldCharType="end"/>
      </w:r>
      <w:r>
        <w:rPr>
          <w:rFonts w:asciiTheme="minorEastAsia" w:hAnsiTheme="minorEastAsia"/>
          <w:bCs/>
          <w:color w:val="auto"/>
          <w:sz w:val="28"/>
          <w:szCs w:val="28"/>
          <w:highlight w:val="none"/>
        </w:rPr>
        <w:fldChar w:fldCharType="end"/>
      </w:r>
    </w:p>
    <w:p w14:paraId="2DB2EC26">
      <w:pPr>
        <w:pStyle w:val="18"/>
        <w:tabs>
          <w:tab w:val="right" w:leader="dot" w:pos="8279"/>
        </w:tabs>
        <w:spacing w:line="360" w:lineRule="auto"/>
        <w:rPr>
          <w:color w:val="auto"/>
          <w:sz w:val="28"/>
          <w:szCs w:val="28"/>
          <w:highlight w:val="none"/>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_Toc29923 </w:instrText>
      </w:r>
      <w:r>
        <w:rPr>
          <w:rFonts w:asciiTheme="minorEastAsia" w:hAnsiTheme="minorEastAsia"/>
          <w:bCs/>
          <w:color w:val="auto"/>
          <w:sz w:val="28"/>
          <w:szCs w:val="28"/>
          <w:highlight w:val="none"/>
        </w:rPr>
        <w:fldChar w:fldCharType="separate"/>
      </w:r>
      <w:r>
        <w:rPr>
          <w:rFonts w:hint="eastAsia" w:ascii="宋体" w:hAnsi="宋体" w:eastAsia="宋体"/>
          <w:color w:val="auto"/>
          <w:sz w:val="28"/>
          <w:szCs w:val="28"/>
          <w:highlight w:val="none"/>
        </w:rPr>
        <w:t xml:space="preserve">第五章  </w:t>
      </w:r>
      <w:r>
        <w:rPr>
          <w:rFonts w:hint="eastAsia" w:ascii="宋体" w:hAnsi="宋体" w:eastAsia="宋体"/>
          <w:color w:val="auto"/>
          <w:sz w:val="28"/>
          <w:szCs w:val="28"/>
          <w:highlight w:val="none"/>
          <w:lang w:val="en-US" w:eastAsia="zh-CN"/>
        </w:rPr>
        <w:t>发包</w:t>
      </w:r>
      <w:r>
        <w:rPr>
          <w:rFonts w:ascii="宋体" w:hAnsi="宋体" w:eastAsia="宋体"/>
          <w:color w:val="auto"/>
          <w:sz w:val="28"/>
          <w:szCs w:val="28"/>
          <w:highlight w:val="none"/>
        </w:rPr>
        <w:t>合同</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_Toc29923 \h </w:instrText>
      </w:r>
      <w:r>
        <w:rPr>
          <w:color w:val="auto"/>
          <w:sz w:val="28"/>
          <w:szCs w:val="28"/>
          <w:highlight w:val="none"/>
        </w:rPr>
        <w:fldChar w:fldCharType="separate"/>
      </w:r>
      <w:r>
        <w:rPr>
          <w:color w:val="auto"/>
          <w:sz w:val="28"/>
          <w:szCs w:val="28"/>
          <w:highlight w:val="none"/>
        </w:rPr>
        <w:t>30</w:t>
      </w:r>
      <w:r>
        <w:rPr>
          <w:color w:val="auto"/>
          <w:sz w:val="28"/>
          <w:szCs w:val="28"/>
          <w:highlight w:val="none"/>
        </w:rPr>
        <w:fldChar w:fldCharType="end"/>
      </w:r>
      <w:r>
        <w:rPr>
          <w:rFonts w:asciiTheme="minorEastAsia" w:hAnsiTheme="minorEastAsia"/>
          <w:bCs/>
          <w:color w:val="auto"/>
          <w:sz w:val="28"/>
          <w:szCs w:val="28"/>
          <w:highlight w:val="none"/>
        </w:rPr>
        <w:fldChar w:fldCharType="end"/>
      </w:r>
    </w:p>
    <w:p w14:paraId="626C588A">
      <w:pPr>
        <w:pStyle w:val="18"/>
        <w:tabs>
          <w:tab w:val="right" w:leader="dot" w:pos="8279"/>
        </w:tabs>
        <w:spacing w:line="360" w:lineRule="auto"/>
        <w:rPr>
          <w:color w:val="auto"/>
          <w:sz w:val="28"/>
          <w:szCs w:val="28"/>
          <w:highlight w:val="none"/>
        </w:rPr>
      </w:pPr>
      <w:r>
        <w:rPr>
          <w:rFonts w:asciiTheme="minorEastAsia" w:hAnsiTheme="minorEastAsia"/>
          <w:bCs/>
          <w:color w:val="auto"/>
          <w:sz w:val="28"/>
          <w:szCs w:val="28"/>
          <w:highlight w:val="none"/>
        </w:rPr>
        <w:fldChar w:fldCharType="begin"/>
      </w:r>
      <w:r>
        <w:rPr>
          <w:rFonts w:asciiTheme="minorEastAsia" w:hAnsiTheme="minorEastAsia"/>
          <w:bCs/>
          <w:color w:val="auto"/>
          <w:sz w:val="28"/>
          <w:szCs w:val="28"/>
          <w:highlight w:val="none"/>
        </w:rPr>
        <w:instrText xml:space="preserve"> HYPERLINK \l _Toc10214 </w:instrText>
      </w:r>
      <w:r>
        <w:rPr>
          <w:rFonts w:asciiTheme="minorEastAsia" w:hAnsiTheme="minorEastAsia"/>
          <w:bCs/>
          <w:color w:val="auto"/>
          <w:sz w:val="28"/>
          <w:szCs w:val="28"/>
          <w:highlight w:val="none"/>
        </w:rPr>
        <w:fldChar w:fldCharType="separate"/>
      </w:r>
      <w:r>
        <w:rPr>
          <w:rFonts w:hint="eastAsia" w:asciiTheme="minorEastAsia" w:hAnsiTheme="minorEastAsia" w:eastAsiaTheme="minorEastAsia"/>
          <w:color w:val="auto"/>
          <w:sz w:val="28"/>
          <w:szCs w:val="28"/>
          <w:highlight w:val="none"/>
        </w:rPr>
        <w:t>第六章  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_Toc10214 \h </w:instrText>
      </w:r>
      <w:r>
        <w:rPr>
          <w:color w:val="auto"/>
          <w:sz w:val="28"/>
          <w:szCs w:val="28"/>
          <w:highlight w:val="none"/>
        </w:rPr>
        <w:fldChar w:fldCharType="separate"/>
      </w:r>
      <w:r>
        <w:rPr>
          <w:color w:val="auto"/>
          <w:sz w:val="28"/>
          <w:szCs w:val="28"/>
          <w:highlight w:val="none"/>
        </w:rPr>
        <w:t>40</w:t>
      </w:r>
      <w:r>
        <w:rPr>
          <w:color w:val="auto"/>
          <w:sz w:val="28"/>
          <w:szCs w:val="28"/>
          <w:highlight w:val="none"/>
        </w:rPr>
        <w:fldChar w:fldCharType="end"/>
      </w:r>
      <w:r>
        <w:rPr>
          <w:rFonts w:asciiTheme="minorEastAsia" w:hAnsiTheme="minorEastAsia"/>
          <w:bCs/>
          <w:color w:val="auto"/>
          <w:sz w:val="28"/>
          <w:szCs w:val="28"/>
          <w:highlight w:val="none"/>
        </w:rPr>
        <w:fldChar w:fldCharType="end"/>
      </w:r>
    </w:p>
    <w:p w14:paraId="43A66A4B">
      <w:pPr>
        <w:pStyle w:val="18"/>
        <w:tabs>
          <w:tab w:val="right" w:leader="dot" w:pos="8279"/>
        </w:tabs>
        <w:spacing w:line="360" w:lineRule="auto"/>
        <w:rPr>
          <w:color w:val="auto"/>
          <w:sz w:val="28"/>
          <w:szCs w:val="28"/>
          <w:highlight w:val="none"/>
        </w:rPr>
      </w:pPr>
    </w:p>
    <w:p w14:paraId="046698EE">
      <w:pPr>
        <w:pStyle w:val="9"/>
        <w:tabs>
          <w:tab w:val="right" w:leader="dot" w:pos="8296"/>
        </w:tabs>
        <w:spacing w:line="360" w:lineRule="auto"/>
        <w:rPr>
          <w:rFonts w:asciiTheme="minorEastAsia" w:hAnsiTheme="minorEastAsia"/>
          <w:b/>
          <w:color w:val="auto"/>
          <w:sz w:val="32"/>
          <w:highlight w:val="none"/>
        </w:rPr>
      </w:pPr>
      <w:r>
        <w:rPr>
          <w:rFonts w:asciiTheme="minorEastAsia" w:hAnsiTheme="minorEastAsia"/>
          <w:bCs/>
          <w:color w:val="auto"/>
          <w:sz w:val="28"/>
          <w:szCs w:val="28"/>
          <w:highlight w:val="none"/>
        </w:rPr>
        <w:fldChar w:fldCharType="end"/>
      </w:r>
    </w:p>
    <w:p w14:paraId="6148969B">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7" w:h="16840"/>
          <w:pgMar w:top="1474" w:right="1814" w:bottom="1474" w:left="1814" w:header="851" w:footer="992" w:gutter="0"/>
          <w:pgNumType w:fmt="decimal"/>
          <w:cols w:space="720" w:num="1"/>
          <w:docGrid w:linePitch="462" w:charSpace="0"/>
        </w:sectPr>
      </w:pPr>
    </w:p>
    <w:p w14:paraId="017CF5C7">
      <w:p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华文中宋" w:hAnsi="华文中宋" w:eastAsia="华文中宋" w:cs="华文中宋"/>
          <w:b/>
          <w:color w:val="auto"/>
          <w:sz w:val="44"/>
          <w:szCs w:val="44"/>
          <w:highlight w:val="none"/>
          <w:lang w:eastAsia="zh-CN"/>
        </w:rPr>
        <w:t>六安市城乡居民医保缴费券服务项目</w:t>
      </w:r>
      <w:r>
        <w:rPr>
          <w:rFonts w:hint="eastAsia" w:ascii="华文中宋" w:hAnsi="华文中宋" w:eastAsia="华文中宋" w:cs="华文中宋"/>
          <w:b/>
          <w:color w:val="auto"/>
          <w:sz w:val="44"/>
          <w:szCs w:val="44"/>
          <w:highlight w:val="none"/>
          <w:lang w:val="en-US" w:eastAsia="zh-CN"/>
        </w:rPr>
        <w:t>发包公告</w:t>
      </w:r>
    </w:p>
    <w:p w14:paraId="1BFBA441">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560" w:lineRule="exact"/>
        <w:ind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r>
        <w:rPr>
          <w:rFonts w:hint="eastAsia" w:ascii="仿宋" w:hAnsi="仿宋" w:eastAsia="仿宋" w:cs="仿宋"/>
          <w:color w:val="auto"/>
          <w:sz w:val="28"/>
          <w:szCs w:val="28"/>
          <w:highlight w:val="none"/>
          <w:u w:val="single"/>
          <w:lang w:eastAsia="zh-CN"/>
        </w:rPr>
        <w:t>六安市城乡居民医保缴费券服务项目</w:t>
      </w:r>
      <w:r>
        <w:rPr>
          <w:rFonts w:hint="eastAsia" w:ascii="仿宋" w:hAnsi="仿宋" w:eastAsia="仿宋" w:cs="仿宋"/>
          <w:color w:val="auto"/>
          <w:sz w:val="28"/>
          <w:szCs w:val="28"/>
          <w:highlight w:val="none"/>
          <w:u w:val="single"/>
        </w:rPr>
        <w:t>（项目编号：</w:t>
      </w:r>
      <w:r>
        <w:rPr>
          <w:rFonts w:hint="eastAsia" w:ascii="仿宋" w:hAnsi="仿宋" w:eastAsia="仿宋" w:cs="仿宋"/>
          <w:color w:val="auto"/>
          <w:sz w:val="28"/>
          <w:szCs w:val="28"/>
          <w:highlight w:val="none"/>
          <w:u w:val="single"/>
          <w:lang w:val="en-US" w:eastAsia="zh-CN"/>
        </w:rPr>
        <w:t>AHLT-2026159</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rPr>
        <w:t>的潜在供应商应在六安市医疗保障局官网（ybj.luan.gov.cn）</w:t>
      </w:r>
      <w:r>
        <w:rPr>
          <w:rFonts w:hint="eastAsia" w:ascii="仿宋" w:hAnsi="仿宋" w:eastAsia="仿宋" w:cs="仿宋"/>
          <w:color w:val="auto"/>
          <w:sz w:val="28"/>
          <w:szCs w:val="28"/>
          <w:highlight w:val="none"/>
          <w:u w:val="none"/>
        </w:rPr>
        <w:t>获取</w:t>
      </w:r>
      <w:r>
        <w:rPr>
          <w:rFonts w:hint="eastAsia" w:ascii="仿宋" w:hAnsi="仿宋" w:eastAsia="仿宋" w:cs="仿宋"/>
          <w:color w:val="auto"/>
          <w:sz w:val="28"/>
          <w:szCs w:val="28"/>
          <w:highlight w:val="none"/>
          <w:u w:val="none"/>
          <w:lang w:eastAsia="zh-CN"/>
        </w:rPr>
        <w:t>发包文件</w:t>
      </w:r>
      <w:r>
        <w:rPr>
          <w:rFonts w:hint="eastAsia" w:ascii="仿宋" w:hAnsi="仿宋" w:eastAsia="仿宋" w:cs="仿宋"/>
          <w:color w:val="auto"/>
          <w:sz w:val="28"/>
          <w:szCs w:val="28"/>
          <w:highlight w:val="none"/>
          <w:u w:val="none"/>
        </w:rPr>
        <w:t>，并于</w:t>
      </w:r>
      <w:r>
        <w:rPr>
          <w:rFonts w:hint="eastAsia" w:ascii="仿宋" w:hAnsi="仿宋" w:eastAsia="仿宋" w:cs="仿宋"/>
          <w:color w:val="auto"/>
          <w:sz w:val="28"/>
          <w:szCs w:val="28"/>
          <w:highlight w:val="none"/>
          <w:u w:val="single"/>
          <w:lang w:val="en-US" w:eastAsia="zh-CN"/>
        </w:rPr>
        <w:t>2026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lang w:val="en-US" w:eastAsia="zh-CN"/>
        </w:rPr>
        <w:t>13</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u w:val="single"/>
          <w:lang w:val="en-US" w:eastAsia="zh-CN"/>
        </w:rPr>
        <w:t>15</w:t>
      </w:r>
      <w:r>
        <w:rPr>
          <w:rFonts w:hint="eastAsia" w:ascii="仿宋" w:hAnsi="仿宋" w:eastAsia="仿宋" w:cs="仿宋"/>
          <w:color w:val="auto"/>
          <w:sz w:val="28"/>
          <w:szCs w:val="28"/>
          <w:highlight w:val="non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rPr>
        <w:t>分（北京时间）前</w:t>
      </w:r>
      <w:r>
        <w:rPr>
          <w:rFonts w:hint="eastAsia" w:ascii="仿宋" w:hAnsi="仿宋" w:eastAsia="仿宋" w:cs="仿宋"/>
          <w:color w:val="auto"/>
          <w:sz w:val="28"/>
          <w:szCs w:val="28"/>
          <w:highlight w:val="none"/>
          <w:lang w:val="en-US" w:eastAsia="zh-CN"/>
        </w:rPr>
        <w:t>提交</w:t>
      </w:r>
      <w:r>
        <w:rPr>
          <w:rFonts w:hint="eastAsia" w:ascii="仿宋" w:hAnsi="仿宋" w:eastAsia="仿宋" w:cs="仿宋"/>
          <w:color w:val="auto"/>
          <w:sz w:val="28"/>
          <w:szCs w:val="28"/>
          <w:highlight w:val="none"/>
        </w:rPr>
        <w:t>响应文件。</w:t>
      </w:r>
    </w:p>
    <w:p w14:paraId="66637A55">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1" w:name="_Toc20658"/>
      <w:bookmarkStart w:id="2" w:name="_Toc28359089"/>
      <w:bookmarkStart w:id="3" w:name="_Toc13970"/>
      <w:bookmarkStart w:id="4" w:name="_Toc31720"/>
      <w:bookmarkStart w:id="5" w:name="_Toc35393798"/>
      <w:bookmarkStart w:id="6" w:name="_Toc9864"/>
      <w:bookmarkStart w:id="7" w:name="_Toc28359012"/>
      <w:bookmarkStart w:id="8" w:name="_Toc35393629"/>
      <w:r>
        <w:rPr>
          <w:rFonts w:hint="eastAsia" w:ascii="黑体" w:hAnsi="黑体" w:cs="黑体"/>
          <w:b w:val="0"/>
          <w:bCs/>
          <w:color w:val="auto"/>
          <w:sz w:val="28"/>
          <w:szCs w:val="28"/>
          <w:highlight w:val="none"/>
        </w:rPr>
        <w:t>一、项目基本情况</w:t>
      </w:r>
      <w:bookmarkEnd w:id="1"/>
      <w:bookmarkEnd w:id="2"/>
      <w:bookmarkEnd w:id="3"/>
      <w:bookmarkEnd w:id="4"/>
      <w:bookmarkEnd w:id="5"/>
      <w:bookmarkEnd w:id="6"/>
      <w:bookmarkEnd w:id="7"/>
      <w:bookmarkEnd w:id="8"/>
    </w:p>
    <w:p w14:paraId="64E7A66F">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项目编号：AHLT-2026159</w:t>
      </w:r>
    </w:p>
    <w:p w14:paraId="6D8D04D6">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2、项目名称：</w:t>
      </w:r>
      <w:r>
        <w:rPr>
          <w:rFonts w:hint="eastAsia" w:ascii="仿宋" w:hAnsi="仿宋" w:eastAsia="仿宋" w:cs="仿宋"/>
          <w:color w:val="auto"/>
          <w:sz w:val="28"/>
          <w:szCs w:val="28"/>
          <w:highlight w:val="none"/>
          <w:u w:val="none"/>
          <w:lang w:eastAsia="zh-CN"/>
        </w:rPr>
        <w:t>六安市城乡居民医保缴费券服务项目</w:t>
      </w:r>
    </w:p>
    <w:p w14:paraId="7BFAAD7C">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3、项目类型：服务类</w:t>
      </w:r>
    </w:p>
    <w:p w14:paraId="4138F221">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4、</w:t>
      </w:r>
      <w:r>
        <w:rPr>
          <w:rFonts w:hint="eastAsia" w:ascii="仿宋" w:hAnsi="仿宋" w:eastAsia="仿宋" w:cs="仿宋"/>
          <w:color w:val="auto"/>
          <w:sz w:val="28"/>
          <w:szCs w:val="28"/>
          <w:highlight w:val="none"/>
          <w:lang w:val="en-US" w:eastAsia="zh-CN"/>
        </w:rPr>
        <w:t>预算金额</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6.50万元</w:t>
      </w:r>
    </w:p>
    <w:p w14:paraId="56131B8E">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最高限价：6.50万元</w:t>
      </w:r>
    </w:p>
    <w:p w14:paraId="74D104F7">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hint="default"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采购需求</w:t>
      </w:r>
      <w:r>
        <w:rPr>
          <w:rFonts w:hint="eastAsia" w:ascii="仿宋" w:hAnsi="仿宋" w:eastAsia="仿宋" w:cs="仿宋"/>
          <w:color w:val="auto"/>
          <w:sz w:val="28"/>
          <w:szCs w:val="28"/>
          <w:highlight w:val="none"/>
          <w:lang w:eastAsia="zh-CN"/>
        </w:rPr>
        <w:t>：</w:t>
      </w:r>
      <w:r>
        <w:rPr>
          <w:rFonts w:hint="eastAsia" w:ascii="仿宋" w:hAnsi="仿宋" w:eastAsia="仿宋" w:cs="仿宋"/>
          <w:sz w:val="28"/>
          <w:szCs w:val="28"/>
          <w:lang w:eastAsia="zh-CN"/>
        </w:rPr>
        <w:t>六安市城乡居民医保缴费券服务项目，采购内容主要为建设多主体协同联动的城乡居民医保缴费智能化管理服务平台，含居民医保缴费券精准发放、管理、核销、到期未核销资金原路退还等功能。具体详见采购需求</w:t>
      </w:r>
      <w:r>
        <w:rPr>
          <w:rFonts w:hint="eastAsia" w:ascii="仿宋" w:hAnsi="仿宋" w:eastAsia="仿宋" w:cs="仿宋"/>
          <w:i w:val="0"/>
          <w:iCs w:val="0"/>
          <w:color w:val="auto"/>
          <w:sz w:val="28"/>
          <w:szCs w:val="28"/>
          <w:highlight w:val="none"/>
          <w:lang w:val="en-US" w:eastAsia="zh-CN"/>
        </w:rPr>
        <w:t>。</w:t>
      </w:r>
    </w:p>
    <w:p w14:paraId="0AC1BB06">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、合同履行期限：</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考核合格后，续签下一年度合同，最多续签2次。</w:t>
      </w:r>
    </w:p>
    <w:p w14:paraId="06565DE3">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、是否接受联合体：本项目不接受联合体。</w:t>
      </w:r>
    </w:p>
    <w:p w14:paraId="7577F6F9">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9" w:name="_Toc35393630"/>
      <w:bookmarkStart w:id="10" w:name="_Toc18558"/>
      <w:bookmarkStart w:id="11" w:name="_Toc31029"/>
      <w:bookmarkStart w:id="12" w:name="_Toc24573"/>
      <w:bookmarkStart w:id="13" w:name="_Toc28359090"/>
      <w:bookmarkStart w:id="14" w:name="_Toc35393799"/>
      <w:bookmarkStart w:id="15" w:name="_Toc28359013"/>
      <w:bookmarkStart w:id="16" w:name="_Toc8072"/>
      <w:bookmarkStart w:id="17" w:name="_Toc28359091"/>
      <w:bookmarkStart w:id="18" w:name="_Toc28359014"/>
      <w:r>
        <w:rPr>
          <w:rFonts w:hint="eastAsia" w:ascii="黑体" w:hAnsi="黑体" w:cs="黑体"/>
          <w:b w:val="0"/>
          <w:bCs/>
          <w:color w:val="auto"/>
          <w:sz w:val="28"/>
          <w:szCs w:val="28"/>
          <w:highlight w:val="none"/>
        </w:rPr>
        <w:t>二、申请人的资格要求</w:t>
      </w:r>
      <w:bookmarkEnd w:id="9"/>
      <w:bookmarkEnd w:id="10"/>
      <w:bookmarkEnd w:id="11"/>
      <w:bookmarkEnd w:id="12"/>
      <w:bookmarkEnd w:id="13"/>
      <w:bookmarkEnd w:id="14"/>
      <w:bookmarkEnd w:id="15"/>
      <w:bookmarkEnd w:id="16"/>
    </w:p>
    <w:p w14:paraId="0984336F">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1、供应商参加采购活动应当具备下列条件:</w:t>
      </w:r>
    </w:p>
    <w:p w14:paraId="79CA4390">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1.1</w:t>
      </w:r>
      <w:r>
        <w:rPr>
          <w:rFonts w:hint="eastAsia" w:ascii="仿宋" w:hAnsi="仿宋" w:eastAsia="仿宋" w:cs="仿宋"/>
          <w:color w:val="auto"/>
          <w:sz w:val="28"/>
          <w:szCs w:val="28"/>
          <w:highlight w:val="none"/>
        </w:rPr>
        <w:t>具有独立承担民事责任的能力；</w:t>
      </w:r>
    </w:p>
    <w:p w14:paraId="2D78B0C2">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1.2</w:t>
      </w:r>
      <w:r>
        <w:rPr>
          <w:rFonts w:hint="eastAsia" w:ascii="仿宋" w:hAnsi="仿宋" w:eastAsia="仿宋" w:cs="仿宋"/>
          <w:color w:val="auto"/>
          <w:sz w:val="28"/>
          <w:szCs w:val="28"/>
          <w:highlight w:val="none"/>
        </w:rPr>
        <w:t>具有良好的商业信誉和健全的财务会计制度；</w:t>
      </w:r>
    </w:p>
    <w:p w14:paraId="7C70D3A6">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1.3</w:t>
      </w:r>
      <w:r>
        <w:rPr>
          <w:rFonts w:hint="eastAsia" w:ascii="仿宋" w:hAnsi="仿宋" w:eastAsia="仿宋" w:cs="仿宋"/>
          <w:color w:val="auto"/>
          <w:sz w:val="28"/>
          <w:szCs w:val="28"/>
          <w:highlight w:val="none"/>
        </w:rPr>
        <w:t>具有履行合同所必需的设备和专业技术能力；</w:t>
      </w:r>
    </w:p>
    <w:p w14:paraId="217E1F2A">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1.4</w:t>
      </w:r>
      <w:r>
        <w:rPr>
          <w:rFonts w:hint="eastAsia" w:ascii="仿宋" w:hAnsi="仿宋" w:eastAsia="仿宋" w:cs="仿宋"/>
          <w:color w:val="auto"/>
          <w:sz w:val="28"/>
          <w:szCs w:val="28"/>
          <w:highlight w:val="none"/>
        </w:rPr>
        <w:t>有依法缴纳税收和社会保障资金的良好记录；</w:t>
      </w:r>
    </w:p>
    <w:p w14:paraId="31451D1D">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1.5</w:t>
      </w:r>
      <w:r>
        <w:rPr>
          <w:rFonts w:hint="eastAsia" w:ascii="仿宋" w:hAnsi="仿宋" w:eastAsia="仿宋" w:cs="仿宋"/>
          <w:color w:val="auto"/>
          <w:sz w:val="28"/>
          <w:szCs w:val="28"/>
          <w:highlight w:val="none"/>
        </w:rPr>
        <w:t>参加采购活动前三年内，在经营活动中没有重大违法记录；</w:t>
      </w:r>
    </w:p>
    <w:p w14:paraId="34FC2DDF">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1.6</w:t>
      </w:r>
      <w:r>
        <w:rPr>
          <w:rFonts w:hint="eastAsia" w:ascii="仿宋" w:hAnsi="仿宋" w:eastAsia="仿宋" w:cs="仿宋"/>
          <w:color w:val="auto"/>
          <w:sz w:val="28"/>
          <w:szCs w:val="28"/>
          <w:highlight w:val="none"/>
        </w:rPr>
        <w:t>法律、行政法规规定的其他条件。</w:t>
      </w:r>
    </w:p>
    <w:p w14:paraId="253DC2FF">
      <w:pPr>
        <w:pageBreakBefore w:val="0"/>
        <w:kinsoku/>
        <w:wordWrap/>
        <w:overflowPunct/>
        <w:topLinePunct w:val="0"/>
        <w:autoSpaceDE/>
        <w:autoSpaceDN/>
        <w:bidi w:val="0"/>
        <w:adjustRightInd/>
        <w:snapToGrid/>
        <w:spacing w:line="560" w:lineRule="exact"/>
        <w:ind w:left="0" w:firstLine="562" w:firstLineChars="200"/>
        <w:jc w:val="both"/>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注：各供应商应在响应文件中提供上述内容的承诺函（承诺函格式自拟），</w:t>
      </w:r>
      <w:r>
        <w:rPr>
          <w:rFonts w:hint="eastAsia" w:ascii="仿宋" w:hAnsi="仿宋" w:eastAsia="仿宋" w:cs="仿宋"/>
          <w:b/>
          <w:bCs/>
          <w:color w:val="auto"/>
          <w:sz w:val="28"/>
          <w:szCs w:val="28"/>
          <w:highlight w:val="none"/>
          <w:lang w:val="en-US" w:eastAsia="zh-CN"/>
        </w:rPr>
        <w:t>评审</w:t>
      </w:r>
      <w:r>
        <w:rPr>
          <w:rFonts w:hint="eastAsia" w:ascii="仿宋" w:hAnsi="仿宋" w:eastAsia="仿宋" w:cs="仿宋"/>
          <w:b/>
          <w:bCs/>
          <w:color w:val="auto"/>
          <w:sz w:val="28"/>
          <w:szCs w:val="28"/>
          <w:highlight w:val="none"/>
        </w:rPr>
        <w:t>小组以承诺函为评审依据，未提供承诺函的视为响应无效。</w:t>
      </w:r>
    </w:p>
    <w:p w14:paraId="4F403392">
      <w:pPr>
        <w:pageBreakBefore w:val="0"/>
        <w:kinsoku/>
        <w:wordWrap/>
        <w:overflowPunct/>
        <w:topLinePunct w:val="0"/>
        <w:autoSpaceDE/>
        <w:autoSpaceDN/>
        <w:bidi w:val="0"/>
        <w:adjustRightInd/>
        <w:snapToGrid/>
        <w:spacing w:line="360" w:lineRule="auto"/>
        <w:ind w:left="0"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2、本项目的特定资格要求：</w:t>
      </w:r>
      <w:r>
        <w:rPr>
          <w:rFonts w:hint="eastAsia" w:ascii="仿宋" w:hAnsi="仿宋" w:eastAsia="仿宋" w:cs="仿宋"/>
          <w:color w:val="auto"/>
          <w:sz w:val="28"/>
          <w:szCs w:val="28"/>
          <w:highlight w:val="none"/>
          <w:lang w:val="en-US" w:eastAsia="zh-CN"/>
        </w:rPr>
        <w:t>无。</w:t>
      </w:r>
    </w:p>
    <w:p w14:paraId="7FD946E9">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19" w:name="_Toc32583"/>
      <w:bookmarkStart w:id="20" w:name="_Toc35393800"/>
      <w:bookmarkStart w:id="21" w:name="_Toc35393631"/>
      <w:bookmarkStart w:id="22" w:name="_Toc575"/>
      <w:bookmarkStart w:id="23" w:name="_Toc23310"/>
      <w:bookmarkStart w:id="24" w:name="_Toc26634"/>
      <w:r>
        <w:rPr>
          <w:rFonts w:hint="eastAsia" w:ascii="黑体" w:hAnsi="黑体" w:cs="黑体"/>
          <w:b w:val="0"/>
          <w:bCs/>
          <w:color w:val="auto"/>
          <w:sz w:val="28"/>
          <w:szCs w:val="28"/>
          <w:highlight w:val="none"/>
        </w:rPr>
        <w:t>三、获取</w:t>
      </w:r>
      <w:r>
        <w:rPr>
          <w:rFonts w:hint="eastAsia" w:ascii="黑体" w:hAnsi="黑体" w:cs="黑体"/>
          <w:b w:val="0"/>
          <w:bCs/>
          <w:color w:val="auto"/>
          <w:sz w:val="28"/>
          <w:szCs w:val="28"/>
          <w:highlight w:val="none"/>
          <w:lang w:val="en-US" w:eastAsia="zh-CN"/>
        </w:rPr>
        <w:t>发包</w:t>
      </w:r>
      <w:r>
        <w:rPr>
          <w:rFonts w:hint="eastAsia" w:ascii="黑体" w:hAnsi="黑体" w:cs="黑体"/>
          <w:b w:val="0"/>
          <w:bCs/>
          <w:color w:val="auto"/>
          <w:sz w:val="28"/>
          <w:szCs w:val="28"/>
          <w:highlight w:val="none"/>
        </w:rPr>
        <w:t>文件</w:t>
      </w:r>
      <w:bookmarkEnd w:id="17"/>
      <w:bookmarkEnd w:id="18"/>
      <w:bookmarkEnd w:id="19"/>
      <w:bookmarkEnd w:id="20"/>
      <w:bookmarkEnd w:id="21"/>
      <w:bookmarkEnd w:id="22"/>
      <w:bookmarkEnd w:id="23"/>
      <w:bookmarkEnd w:id="24"/>
    </w:p>
    <w:p w14:paraId="17E5E304">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1、时间：</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lang w:val="en-US" w:eastAsia="zh-CN"/>
        </w:rPr>
        <w:t>9</w:t>
      </w:r>
      <w:r>
        <w:rPr>
          <w:rFonts w:hint="eastAsia" w:ascii="仿宋" w:hAnsi="仿宋" w:eastAsia="仿宋" w:cs="仿宋"/>
          <w:bCs/>
          <w:color w:val="auto"/>
          <w:sz w:val="28"/>
          <w:szCs w:val="28"/>
          <w:highlight w:val="none"/>
        </w:rPr>
        <w:t>日至</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lang w:val="en-US" w:eastAsia="zh-CN"/>
        </w:rPr>
        <w:t>13</w:t>
      </w:r>
      <w:r>
        <w:rPr>
          <w:rFonts w:hint="eastAsia" w:ascii="仿宋" w:hAnsi="仿宋" w:eastAsia="仿宋" w:cs="仿宋"/>
          <w:bCs/>
          <w:color w:val="auto"/>
          <w:sz w:val="28"/>
          <w:szCs w:val="28"/>
          <w:highlight w:val="none"/>
        </w:rPr>
        <w:t>日</w:t>
      </w:r>
      <w:r>
        <w:rPr>
          <w:rFonts w:hint="eastAsia" w:ascii="仿宋" w:hAnsi="仿宋" w:eastAsia="仿宋" w:cs="仿宋"/>
          <w:color w:val="auto"/>
          <w:sz w:val="28"/>
          <w:szCs w:val="28"/>
          <w:highlight w:val="none"/>
        </w:rPr>
        <w:t>（北京时间）</w:t>
      </w:r>
    </w:p>
    <w:p w14:paraId="2914B46D">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2、地点：六安市医疗保障局官网（ybj.luan.gov.cn）</w:t>
      </w:r>
    </w:p>
    <w:p w14:paraId="3C325F84">
      <w:pPr>
        <w:pageBreakBefore w:val="0"/>
        <w:widowControl/>
        <w:shd w:val="clear" w:color="auto" w:fill="FFFFFF"/>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3、获取方式：</w:t>
      </w:r>
      <w:r>
        <w:rPr>
          <w:rFonts w:hint="eastAsia" w:ascii="仿宋" w:hAnsi="仿宋" w:eastAsia="仿宋" w:cs="仿宋"/>
          <w:color w:val="auto"/>
          <w:sz w:val="28"/>
          <w:szCs w:val="28"/>
          <w:highlight w:val="none"/>
          <w:lang w:val="en-US" w:eastAsia="zh-CN"/>
        </w:rPr>
        <w:t>网上下载</w:t>
      </w:r>
    </w:p>
    <w:p w14:paraId="61F6C537">
      <w:pPr>
        <w:pageBreakBefore w:val="0"/>
        <w:widowControl/>
        <w:shd w:val="clear" w:color="auto" w:fill="FFFFFF"/>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color w:val="auto"/>
          <w:kern w:val="0"/>
          <w:sz w:val="28"/>
          <w:szCs w:val="28"/>
          <w:highlight w:val="none"/>
          <w:lang w:eastAsia="zh-CN" w:bidi="ar"/>
        </w:rPr>
      </w:pPr>
      <w:r>
        <w:rPr>
          <w:rFonts w:hint="eastAsia" w:ascii="仿宋" w:hAnsi="仿宋" w:eastAsia="仿宋" w:cs="仿宋"/>
          <w:color w:val="auto"/>
          <w:sz w:val="28"/>
          <w:szCs w:val="28"/>
          <w:highlight w:val="none"/>
        </w:rPr>
        <w:t>①</w:t>
      </w:r>
      <w:r>
        <w:rPr>
          <w:rFonts w:hint="eastAsia" w:ascii="仿宋" w:hAnsi="仿宋" w:eastAsia="仿宋" w:cs="仿宋"/>
          <w:color w:val="auto"/>
          <w:kern w:val="0"/>
          <w:sz w:val="28"/>
          <w:szCs w:val="28"/>
          <w:highlight w:val="none"/>
          <w:lang w:bidi="ar"/>
        </w:rPr>
        <w:t>本项目</w:t>
      </w:r>
      <w:r>
        <w:rPr>
          <w:rFonts w:hint="eastAsia" w:ascii="仿宋" w:hAnsi="仿宋" w:eastAsia="仿宋" w:cs="仿宋"/>
          <w:color w:val="auto"/>
          <w:kern w:val="0"/>
          <w:sz w:val="28"/>
          <w:szCs w:val="28"/>
          <w:highlight w:val="none"/>
          <w:lang w:val="en-US" w:eastAsia="zh-CN" w:bidi="ar"/>
        </w:rPr>
        <w:t>发包文件</w:t>
      </w:r>
      <w:r>
        <w:rPr>
          <w:rFonts w:hint="eastAsia" w:ascii="仿宋" w:hAnsi="仿宋" w:eastAsia="仿宋" w:cs="仿宋"/>
          <w:color w:val="auto"/>
          <w:kern w:val="0"/>
          <w:sz w:val="28"/>
          <w:szCs w:val="28"/>
          <w:highlight w:val="none"/>
          <w:lang w:bidi="ar"/>
        </w:rPr>
        <w:t>（答疑澄清等相关文件资料）从六安市医疗保障局官网下载</w:t>
      </w:r>
      <w:r>
        <w:rPr>
          <w:rFonts w:hint="eastAsia" w:ascii="仿宋" w:hAnsi="仿宋" w:eastAsia="仿宋" w:cs="仿宋"/>
          <w:color w:val="auto"/>
          <w:kern w:val="0"/>
          <w:sz w:val="28"/>
          <w:szCs w:val="28"/>
          <w:highlight w:val="none"/>
          <w:lang w:eastAsia="zh-CN" w:bidi="ar"/>
        </w:rPr>
        <w:t>。</w:t>
      </w:r>
    </w:p>
    <w:p w14:paraId="43E0C134">
      <w:pPr>
        <w:pageBreakBefore w:val="0"/>
        <w:widowControl/>
        <w:shd w:val="clear" w:color="auto" w:fill="FFFFFF"/>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sz w:val="28"/>
          <w:szCs w:val="28"/>
        </w:rPr>
        <w:t>②</w:t>
      </w:r>
      <w:r>
        <w:rPr>
          <w:rFonts w:hint="eastAsia" w:ascii="仿宋" w:hAnsi="仿宋" w:eastAsia="仿宋" w:cs="仿宋"/>
          <w:color w:val="000000"/>
          <w:sz w:val="28"/>
          <w:szCs w:val="28"/>
          <w:lang w:val="en-US" w:eastAsia="zh-CN"/>
        </w:rPr>
        <w:t>为确保采购流程规范有序，各潜在供应商须在领取采购文件时，同步将加盖单位公章的营业执照扫描件或复印件，作为报名材料提交至指定邮箱：365253736@qq.com。未按规定完成报名手续的，其后续提交的响应文件将不予接收</w:t>
      </w:r>
      <w:r>
        <w:rPr>
          <w:rFonts w:hint="eastAsia" w:ascii="仿宋" w:hAnsi="仿宋" w:eastAsia="仿宋" w:cs="仿宋"/>
          <w:color w:val="auto"/>
          <w:kern w:val="0"/>
          <w:sz w:val="28"/>
          <w:szCs w:val="28"/>
          <w:highlight w:val="none"/>
          <w:lang w:eastAsia="zh-CN" w:bidi="ar"/>
        </w:rPr>
        <w:t>。</w:t>
      </w:r>
    </w:p>
    <w:p w14:paraId="59C30B01">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25" w:name="_Toc28359015"/>
      <w:bookmarkStart w:id="26" w:name="_Toc35393801"/>
      <w:bookmarkStart w:id="27" w:name="_Toc28359092"/>
      <w:bookmarkStart w:id="28" w:name="_Toc35393632"/>
      <w:bookmarkStart w:id="29" w:name="_Toc26077"/>
      <w:bookmarkStart w:id="30" w:name="_Toc30719"/>
      <w:bookmarkStart w:id="31" w:name="_Toc2740"/>
      <w:bookmarkStart w:id="32" w:name="_Toc7401"/>
      <w:r>
        <w:rPr>
          <w:rFonts w:hint="eastAsia" w:ascii="黑体" w:hAnsi="黑体" w:cs="黑体"/>
          <w:b w:val="0"/>
          <w:bCs/>
          <w:color w:val="auto"/>
          <w:sz w:val="28"/>
          <w:szCs w:val="28"/>
          <w:highlight w:val="none"/>
        </w:rPr>
        <w:t>四、响应文件</w:t>
      </w:r>
      <w:bookmarkEnd w:id="25"/>
      <w:bookmarkEnd w:id="26"/>
      <w:bookmarkEnd w:id="27"/>
      <w:bookmarkEnd w:id="28"/>
      <w:r>
        <w:rPr>
          <w:rFonts w:hint="eastAsia" w:ascii="黑体" w:hAnsi="黑体" w:cs="黑体"/>
          <w:b w:val="0"/>
          <w:bCs/>
          <w:color w:val="auto"/>
          <w:sz w:val="28"/>
          <w:szCs w:val="28"/>
          <w:highlight w:val="none"/>
        </w:rPr>
        <w:t>提交</w:t>
      </w:r>
      <w:bookmarkEnd w:id="29"/>
      <w:bookmarkEnd w:id="30"/>
      <w:bookmarkEnd w:id="31"/>
      <w:bookmarkEnd w:id="32"/>
    </w:p>
    <w:p w14:paraId="62D8841F">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bCs/>
          <w:color w:val="auto"/>
          <w:sz w:val="28"/>
          <w:szCs w:val="28"/>
          <w:highlight w:val="none"/>
        </w:rPr>
      </w:pPr>
      <w:r>
        <w:rPr>
          <w:rFonts w:hint="eastAsia" w:ascii="仿宋" w:hAnsi="仿宋" w:eastAsia="仿宋" w:cs="仿宋"/>
          <w:color w:val="auto"/>
          <w:sz w:val="28"/>
          <w:szCs w:val="28"/>
          <w:highlight w:val="none"/>
        </w:rPr>
        <w:t>1、截止时间：</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lang w:val="en-US" w:eastAsia="zh-CN"/>
        </w:rPr>
        <w:t>13</w:t>
      </w:r>
      <w:r>
        <w:rPr>
          <w:rFonts w:hint="eastAsia" w:ascii="仿宋" w:hAnsi="仿宋" w:eastAsia="仿宋" w:cs="仿宋"/>
          <w:bCs/>
          <w:color w:val="auto"/>
          <w:sz w:val="28"/>
          <w:szCs w:val="28"/>
          <w:highlight w:val="none"/>
        </w:rPr>
        <w:t>日</w:t>
      </w:r>
      <w:r>
        <w:rPr>
          <w:rFonts w:hint="eastAsia" w:ascii="仿宋" w:hAnsi="仿宋" w:eastAsia="仿宋" w:cs="仿宋"/>
          <w:bCs/>
          <w:color w:val="auto"/>
          <w:sz w:val="28"/>
          <w:szCs w:val="28"/>
          <w:highlight w:val="none"/>
          <w:u w:val="single"/>
          <w:lang w:val="en-US" w:eastAsia="zh-CN"/>
        </w:rPr>
        <w:t>15</w:t>
      </w:r>
      <w:r>
        <w:rPr>
          <w:rFonts w:hint="eastAsia" w:ascii="仿宋" w:hAnsi="仿宋" w:eastAsia="仿宋" w:cs="仿宋"/>
          <w:bCs/>
          <w:color w:val="auto"/>
          <w:sz w:val="28"/>
          <w:szCs w:val="28"/>
          <w:highlight w:val="none"/>
        </w:rPr>
        <w:t>点</w:t>
      </w:r>
      <w:r>
        <w:rPr>
          <w:rFonts w:hint="eastAsia" w:ascii="仿宋" w:hAnsi="仿宋" w:eastAsia="仿宋" w:cs="仿宋"/>
          <w:bCs/>
          <w:color w:val="auto"/>
          <w:sz w:val="28"/>
          <w:szCs w:val="28"/>
          <w:highlight w:val="none"/>
          <w:u w:val="single"/>
          <w:lang w:val="en-US" w:eastAsia="zh-CN"/>
        </w:rPr>
        <w:t>00</w:t>
      </w:r>
      <w:r>
        <w:rPr>
          <w:rFonts w:hint="eastAsia" w:ascii="仿宋" w:hAnsi="仿宋" w:eastAsia="仿宋" w:cs="仿宋"/>
          <w:bCs/>
          <w:color w:val="auto"/>
          <w:sz w:val="28"/>
          <w:szCs w:val="28"/>
          <w:highlight w:val="none"/>
        </w:rPr>
        <w:t>分（北京时间）</w:t>
      </w:r>
    </w:p>
    <w:p w14:paraId="4BC82D72">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2、提交方式：响应文件应在提交截止时间前</w:t>
      </w:r>
      <w:r>
        <w:rPr>
          <w:rFonts w:hint="eastAsia" w:ascii="仿宋" w:hAnsi="仿宋" w:eastAsia="仿宋" w:cs="仿宋"/>
          <w:color w:val="auto"/>
          <w:kern w:val="0"/>
          <w:sz w:val="28"/>
          <w:szCs w:val="28"/>
          <w:highlight w:val="none"/>
          <w:lang w:val="en-US" w:eastAsia="zh-CN"/>
        </w:rPr>
        <w:t>现场递交</w:t>
      </w:r>
      <w:r>
        <w:rPr>
          <w:rFonts w:hint="eastAsia" w:ascii="仿宋" w:hAnsi="仿宋" w:eastAsia="仿宋" w:cs="仿宋"/>
          <w:color w:val="auto"/>
          <w:kern w:val="0"/>
          <w:sz w:val="28"/>
          <w:szCs w:val="28"/>
          <w:highlight w:val="none"/>
        </w:rPr>
        <w:t>。</w:t>
      </w:r>
    </w:p>
    <w:p w14:paraId="3B338AC8">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33" w:name="_Toc28359016"/>
      <w:bookmarkStart w:id="34" w:name="_Toc35393802"/>
      <w:bookmarkStart w:id="35" w:name="_Toc35393633"/>
      <w:bookmarkStart w:id="36" w:name="_Toc28359093"/>
      <w:bookmarkStart w:id="37" w:name="_Toc1586"/>
      <w:bookmarkStart w:id="38" w:name="_Toc26903"/>
      <w:bookmarkStart w:id="39" w:name="_Toc11900"/>
      <w:bookmarkStart w:id="40" w:name="_Toc18791"/>
      <w:r>
        <w:rPr>
          <w:rFonts w:hint="eastAsia" w:ascii="黑体" w:hAnsi="黑体" w:cs="黑体"/>
          <w:b w:val="0"/>
          <w:bCs/>
          <w:color w:val="auto"/>
          <w:sz w:val="28"/>
          <w:szCs w:val="28"/>
          <w:highlight w:val="none"/>
        </w:rPr>
        <w:t>五、</w:t>
      </w:r>
      <w:bookmarkEnd w:id="33"/>
      <w:bookmarkEnd w:id="34"/>
      <w:bookmarkEnd w:id="35"/>
      <w:bookmarkEnd w:id="36"/>
      <w:r>
        <w:rPr>
          <w:rFonts w:hint="eastAsia" w:ascii="黑体" w:hAnsi="黑体" w:cs="黑体"/>
          <w:b w:val="0"/>
          <w:bCs/>
          <w:color w:val="auto"/>
          <w:sz w:val="28"/>
          <w:szCs w:val="28"/>
          <w:highlight w:val="none"/>
        </w:rPr>
        <w:t>响应文件开启</w:t>
      </w:r>
      <w:bookmarkEnd w:id="37"/>
      <w:bookmarkEnd w:id="38"/>
      <w:bookmarkEnd w:id="39"/>
      <w:bookmarkEnd w:id="40"/>
    </w:p>
    <w:p w14:paraId="74DEC7F4">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1、时间：</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lang w:val="en-US" w:eastAsia="zh-CN"/>
        </w:rPr>
        <w:t>13</w:t>
      </w:r>
      <w:r>
        <w:rPr>
          <w:rFonts w:hint="eastAsia" w:ascii="仿宋" w:hAnsi="仿宋" w:eastAsia="仿宋" w:cs="仿宋"/>
          <w:bCs/>
          <w:color w:val="auto"/>
          <w:sz w:val="28"/>
          <w:szCs w:val="28"/>
          <w:highlight w:val="none"/>
        </w:rPr>
        <w:t>日</w:t>
      </w:r>
      <w:r>
        <w:rPr>
          <w:rFonts w:hint="eastAsia" w:ascii="仿宋" w:hAnsi="仿宋" w:eastAsia="仿宋" w:cs="仿宋"/>
          <w:bCs/>
          <w:color w:val="auto"/>
          <w:sz w:val="28"/>
          <w:szCs w:val="28"/>
          <w:highlight w:val="none"/>
          <w:u w:val="single"/>
          <w:lang w:val="en-US" w:eastAsia="zh-CN"/>
        </w:rPr>
        <w:t>15</w:t>
      </w:r>
      <w:r>
        <w:rPr>
          <w:rFonts w:hint="eastAsia" w:ascii="仿宋" w:hAnsi="仿宋" w:eastAsia="仿宋" w:cs="仿宋"/>
          <w:bCs/>
          <w:color w:val="auto"/>
          <w:sz w:val="28"/>
          <w:szCs w:val="28"/>
          <w:highlight w:val="none"/>
        </w:rPr>
        <w:t>点</w:t>
      </w:r>
      <w:r>
        <w:rPr>
          <w:rFonts w:hint="eastAsia" w:ascii="仿宋" w:hAnsi="仿宋" w:eastAsia="仿宋" w:cs="仿宋"/>
          <w:bCs/>
          <w:color w:val="auto"/>
          <w:sz w:val="28"/>
          <w:szCs w:val="28"/>
          <w:highlight w:val="none"/>
          <w:u w:val="single"/>
          <w:lang w:val="en-US" w:eastAsia="zh-CN"/>
        </w:rPr>
        <w:t>00</w:t>
      </w:r>
      <w:r>
        <w:rPr>
          <w:rFonts w:hint="eastAsia" w:ascii="仿宋" w:hAnsi="仿宋" w:eastAsia="仿宋" w:cs="仿宋"/>
          <w:bCs/>
          <w:color w:val="auto"/>
          <w:sz w:val="28"/>
          <w:szCs w:val="28"/>
          <w:highlight w:val="none"/>
        </w:rPr>
        <w:t>分</w:t>
      </w:r>
      <w:r>
        <w:rPr>
          <w:rFonts w:hint="eastAsia" w:ascii="仿宋" w:hAnsi="仿宋" w:eastAsia="仿宋" w:cs="仿宋"/>
          <w:color w:val="auto"/>
          <w:sz w:val="28"/>
          <w:szCs w:val="28"/>
          <w:highlight w:val="none"/>
        </w:rPr>
        <w:t>（北京时间）</w:t>
      </w:r>
    </w:p>
    <w:p w14:paraId="6A1BE7A7">
      <w:pPr>
        <w:pStyle w:val="22"/>
        <w:pageBreakBefore w:val="0"/>
        <w:kinsoku/>
        <w:wordWrap/>
        <w:overflowPunct/>
        <w:topLinePunct w:val="0"/>
        <w:autoSpaceDE/>
        <w:autoSpaceDN/>
        <w:bidi w:val="0"/>
        <w:adjustRightInd/>
        <w:snapToGrid/>
        <w:spacing w:after="0" w:line="560" w:lineRule="exact"/>
        <w:ind w:left="0" w:firstLine="560" w:firstLineChars="2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2、地点：六安市佛子岭路人力资源和社会保障局大楼</w:t>
      </w:r>
      <w:r>
        <w:rPr>
          <w:rFonts w:hint="eastAsia" w:ascii="仿宋" w:hAnsi="仿宋" w:eastAsia="仿宋" w:cs="仿宋"/>
          <w:color w:val="auto"/>
          <w:sz w:val="28"/>
          <w:szCs w:val="28"/>
          <w:highlight w:val="none"/>
          <w:lang w:val="en-US" w:eastAsia="zh-CN"/>
        </w:rPr>
        <w:t>3楼小会议室。</w:t>
      </w:r>
    </w:p>
    <w:p w14:paraId="4FD99729">
      <w:pPr>
        <w:pStyle w:val="3"/>
        <w:pageBreakBefore w:val="0"/>
        <w:kinsoku/>
        <w:wordWrap/>
        <w:overflowPunct/>
        <w:topLinePunct w:val="0"/>
        <w:autoSpaceDE/>
        <w:autoSpaceDN/>
        <w:bidi w:val="0"/>
        <w:adjustRightInd/>
        <w:snapToGrid/>
        <w:spacing w:before="0" w:after="0" w:line="560" w:lineRule="exact"/>
        <w:ind w:left="0"/>
        <w:jc w:val="both"/>
        <w:textAlignment w:val="auto"/>
        <w:rPr>
          <w:rFonts w:ascii="黑体" w:hAnsi="黑体" w:cs="黑体"/>
          <w:b w:val="0"/>
          <w:bCs/>
          <w:color w:val="auto"/>
          <w:sz w:val="28"/>
          <w:szCs w:val="28"/>
          <w:highlight w:val="none"/>
        </w:rPr>
      </w:pPr>
      <w:bookmarkStart w:id="41" w:name="_Toc28359094"/>
      <w:bookmarkStart w:id="42" w:name="_Toc28359017"/>
      <w:bookmarkStart w:id="43" w:name="_Toc35393803"/>
      <w:bookmarkStart w:id="44" w:name="_Toc6439"/>
      <w:bookmarkStart w:id="45" w:name="_Toc3084"/>
      <w:bookmarkStart w:id="46" w:name="_Toc20464"/>
      <w:bookmarkStart w:id="47" w:name="_Toc29465"/>
      <w:bookmarkStart w:id="48" w:name="_Toc35393634"/>
      <w:r>
        <w:rPr>
          <w:rFonts w:hint="eastAsia" w:ascii="黑体" w:hAnsi="黑体" w:cs="黑体"/>
          <w:b w:val="0"/>
          <w:bCs/>
          <w:color w:val="auto"/>
          <w:sz w:val="28"/>
          <w:szCs w:val="28"/>
          <w:highlight w:val="none"/>
        </w:rPr>
        <w:t>六、公告期限</w:t>
      </w:r>
      <w:bookmarkEnd w:id="41"/>
      <w:bookmarkEnd w:id="42"/>
      <w:bookmarkEnd w:id="43"/>
      <w:bookmarkEnd w:id="44"/>
      <w:bookmarkEnd w:id="45"/>
      <w:bookmarkEnd w:id="46"/>
      <w:bookmarkEnd w:id="47"/>
      <w:bookmarkEnd w:id="48"/>
    </w:p>
    <w:p w14:paraId="63520166">
      <w:pPr>
        <w:pageBreakBefore w:val="0"/>
        <w:kinsoku/>
        <w:wordWrap/>
        <w:overflowPunct/>
        <w:topLinePunct w:val="0"/>
        <w:autoSpaceDE/>
        <w:autoSpaceDN/>
        <w:bidi w:val="0"/>
        <w:adjustRightInd/>
        <w:snapToGrid/>
        <w:spacing w:line="560" w:lineRule="exact"/>
        <w:ind w:left="0" w:firstLine="560" w:firstLineChars="200"/>
        <w:jc w:val="both"/>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自本公告发布之日起3个工作日。</w:t>
      </w:r>
    </w:p>
    <w:p w14:paraId="48F982DB">
      <w:pPr>
        <w:pageBreakBefore w:val="0"/>
        <w:kinsoku/>
        <w:wordWrap/>
        <w:overflowPunct/>
        <w:topLinePunct w:val="0"/>
        <w:autoSpaceDE/>
        <w:autoSpaceDN/>
        <w:bidi w:val="0"/>
        <w:adjustRightInd/>
        <w:snapToGrid/>
        <w:spacing w:line="560" w:lineRule="exact"/>
        <w:ind w:left="0"/>
        <w:jc w:val="both"/>
        <w:textAlignment w:val="auto"/>
        <w:rPr>
          <w:rFonts w:ascii="黑体" w:hAnsi="黑体" w:eastAsia="黑体" w:cs="黑体"/>
          <w:color w:val="auto"/>
          <w:sz w:val="28"/>
          <w:szCs w:val="28"/>
          <w:highlight w:val="none"/>
        </w:rPr>
      </w:pPr>
      <w:r>
        <w:rPr>
          <w:rFonts w:hint="eastAsia" w:ascii="黑体" w:hAnsi="黑体" w:eastAsia="黑体" w:cs="黑体"/>
          <w:color w:val="auto"/>
          <w:sz w:val="28"/>
          <w:szCs w:val="28"/>
          <w:highlight w:val="none"/>
        </w:rPr>
        <w:t>七、</w:t>
      </w:r>
      <w:bookmarkStart w:id="49" w:name="_Toc35393804"/>
      <w:bookmarkStart w:id="50" w:name="_Toc35393635"/>
      <w:r>
        <w:rPr>
          <w:rFonts w:hint="eastAsia" w:ascii="黑体" w:hAnsi="黑体" w:eastAsia="黑体" w:cs="黑体"/>
          <w:color w:val="auto"/>
          <w:sz w:val="28"/>
          <w:szCs w:val="28"/>
          <w:highlight w:val="none"/>
        </w:rPr>
        <w:t>其他事宜</w:t>
      </w:r>
      <w:bookmarkEnd w:id="49"/>
      <w:bookmarkEnd w:id="50"/>
      <w:bookmarkStart w:id="51" w:name="_Toc35393636"/>
      <w:bookmarkStart w:id="52" w:name="_Toc28359095"/>
      <w:bookmarkStart w:id="53" w:name="_Toc35393805"/>
      <w:bookmarkStart w:id="54" w:name="_Toc28359018"/>
    </w:p>
    <w:bookmarkEnd w:id="51"/>
    <w:bookmarkEnd w:id="52"/>
    <w:bookmarkEnd w:id="53"/>
    <w:bookmarkEnd w:id="54"/>
    <w:p w14:paraId="59E7F4A1">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kern w:val="0"/>
          <w:sz w:val="28"/>
          <w:szCs w:val="28"/>
          <w:highlight w:val="none"/>
          <w:lang w:eastAsia="zh-CN"/>
        </w:rPr>
      </w:pPr>
      <w:r>
        <w:rPr>
          <w:rFonts w:hint="eastAsia" w:ascii="仿宋" w:hAnsi="仿宋" w:eastAsia="仿宋" w:cs="仿宋"/>
          <w:bCs/>
          <w:color w:val="auto"/>
          <w:kern w:val="0"/>
          <w:sz w:val="28"/>
          <w:szCs w:val="28"/>
          <w:highlight w:val="none"/>
        </w:rPr>
        <w:t>本项目采用</w:t>
      </w:r>
      <w:r>
        <w:rPr>
          <w:rFonts w:hint="eastAsia" w:ascii="仿宋" w:hAnsi="仿宋" w:eastAsia="仿宋" w:cs="仿宋"/>
          <w:bCs/>
          <w:color w:val="auto"/>
          <w:kern w:val="0"/>
          <w:sz w:val="28"/>
          <w:szCs w:val="28"/>
          <w:highlight w:val="none"/>
          <w:lang w:val="en-US" w:eastAsia="zh-CN"/>
        </w:rPr>
        <w:t>现场</w:t>
      </w:r>
      <w:r>
        <w:rPr>
          <w:rFonts w:hint="eastAsia" w:ascii="仿宋" w:hAnsi="仿宋" w:eastAsia="仿宋" w:cs="仿宋"/>
          <w:bCs/>
          <w:color w:val="auto"/>
          <w:kern w:val="0"/>
          <w:sz w:val="28"/>
          <w:szCs w:val="28"/>
          <w:highlight w:val="none"/>
        </w:rPr>
        <w:t>开标方式，开标时</w:t>
      </w:r>
      <w:r>
        <w:rPr>
          <w:rFonts w:hint="eastAsia" w:ascii="仿宋" w:hAnsi="仿宋" w:eastAsia="仿宋" w:cs="仿宋"/>
          <w:bCs/>
          <w:color w:val="auto"/>
          <w:kern w:val="0"/>
          <w:sz w:val="28"/>
          <w:szCs w:val="28"/>
          <w:highlight w:val="none"/>
          <w:lang w:eastAsia="zh-CN"/>
        </w:rPr>
        <w:t>供应商</w:t>
      </w:r>
      <w:r>
        <w:rPr>
          <w:rFonts w:hint="eastAsia" w:ascii="仿宋" w:hAnsi="仿宋" w:eastAsia="仿宋" w:cs="仿宋"/>
          <w:bCs/>
          <w:color w:val="auto"/>
          <w:kern w:val="0"/>
          <w:sz w:val="28"/>
          <w:szCs w:val="28"/>
          <w:highlight w:val="none"/>
        </w:rPr>
        <w:t>需</w:t>
      </w:r>
      <w:r>
        <w:rPr>
          <w:rFonts w:hint="eastAsia" w:ascii="仿宋" w:hAnsi="仿宋" w:eastAsia="仿宋" w:cs="仿宋"/>
          <w:bCs/>
          <w:color w:val="auto"/>
          <w:kern w:val="0"/>
          <w:sz w:val="28"/>
          <w:szCs w:val="28"/>
          <w:highlight w:val="none"/>
          <w:lang w:val="en-US" w:eastAsia="zh-CN"/>
        </w:rPr>
        <w:t>到达</w:t>
      </w:r>
      <w:r>
        <w:rPr>
          <w:rFonts w:hint="eastAsia" w:ascii="仿宋" w:hAnsi="仿宋" w:eastAsia="仿宋" w:cs="仿宋"/>
          <w:bCs/>
          <w:color w:val="auto"/>
          <w:kern w:val="0"/>
          <w:sz w:val="28"/>
          <w:szCs w:val="28"/>
          <w:highlight w:val="none"/>
        </w:rPr>
        <w:t>开标现场</w:t>
      </w:r>
      <w:r>
        <w:rPr>
          <w:rFonts w:hint="eastAsia" w:ascii="仿宋" w:hAnsi="仿宋" w:eastAsia="仿宋" w:cs="仿宋"/>
          <w:bCs/>
          <w:color w:val="auto"/>
          <w:kern w:val="0"/>
          <w:sz w:val="28"/>
          <w:szCs w:val="28"/>
          <w:highlight w:val="none"/>
          <w:lang w:eastAsia="zh-CN"/>
        </w:rPr>
        <w:t>，</w:t>
      </w:r>
      <w:r>
        <w:rPr>
          <w:rFonts w:hint="eastAsia" w:ascii="仿宋" w:hAnsi="仿宋" w:eastAsia="仿宋" w:cs="仿宋"/>
          <w:bCs/>
          <w:color w:val="auto"/>
          <w:kern w:val="0"/>
          <w:sz w:val="28"/>
          <w:szCs w:val="28"/>
          <w:highlight w:val="none"/>
          <w:lang w:val="en-US" w:eastAsia="zh-CN"/>
        </w:rPr>
        <w:t>现场递交纸质版响应</w:t>
      </w:r>
      <w:r>
        <w:rPr>
          <w:rFonts w:hint="eastAsia" w:ascii="仿宋" w:hAnsi="仿宋" w:eastAsia="仿宋" w:cs="仿宋"/>
          <w:bCs/>
          <w:color w:val="auto"/>
          <w:kern w:val="0"/>
          <w:sz w:val="28"/>
          <w:szCs w:val="28"/>
          <w:highlight w:val="none"/>
        </w:rPr>
        <w:t>文件</w:t>
      </w:r>
      <w:r>
        <w:rPr>
          <w:rFonts w:hint="eastAsia" w:ascii="仿宋" w:hAnsi="仿宋" w:eastAsia="仿宋" w:cs="仿宋"/>
          <w:bCs/>
          <w:color w:val="auto"/>
          <w:kern w:val="0"/>
          <w:sz w:val="28"/>
          <w:szCs w:val="28"/>
          <w:highlight w:val="none"/>
          <w:lang w:eastAsia="zh-CN"/>
        </w:rPr>
        <w:t>。</w:t>
      </w:r>
    </w:p>
    <w:p w14:paraId="2D490589">
      <w:pPr>
        <w:pStyle w:val="3"/>
        <w:pageBreakBefore w:val="0"/>
        <w:widowControl/>
        <w:kinsoku/>
        <w:wordWrap/>
        <w:overflowPunct/>
        <w:topLinePunct w:val="0"/>
        <w:autoSpaceDE/>
        <w:autoSpaceDN/>
        <w:bidi w:val="0"/>
        <w:adjustRightInd/>
        <w:snapToGrid/>
        <w:spacing w:before="0" w:after="0" w:line="560" w:lineRule="exact"/>
        <w:ind w:left="0" w:firstLine="0"/>
        <w:jc w:val="both"/>
        <w:textAlignment w:val="auto"/>
        <w:rPr>
          <w:rFonts w:hint="eastAsia" w:ascii="黑体" w:hAnsi="黑体" w:cs="黑体"/>
          <w:b w:val="0"/>
          <w:bCs w:val="0"/>
          <w:color w:val="auto"/>
          <w:kern w:val="0"/>
          <w:sz w:val="28"/>
          <w:szCs w:val="28"/>
          <w:highlight w:val="none"/>
        </w:rPr>
      </w:pPr>
      <w:bookmarkStart w:id="55" w:name="_Toc19777"/>
      <w:bookmarkStart w:id="56" w:name="_Toc21041"/>
      <w:bookmarkStart w:id="57" w:name="_Toc22370"/>
      <w:bookmarkStart w:id="58" w:name="_Toc26145"/>
      <w:r>
        <w:rPr>
          <w:rFonts w:hint="eastAsia" w:ascii="黑体" w:hAnsi="黑体" w:cs="黑体"/>
          <w:b w:val="0"/>
          <w:bCs w:val="0"/>
          <w:color w:val="auto"/>
          <w:kern w:val="0"/>
          <w:sz w:val="28"/>
          <w:szCs w:val="28"/>
          <w:highlight w:val="none"/>
          <w:lang w:val="en-US" w:eastAsia="zh-CN"/>
        </w:rPr>
        <w:t>八</w:t>
      </w:r>
      <w:r>
        <w:rPr>
          <w:rFonts w:hint="eastAsia" w:ascii="黑体" w:hAnsi="黑体" w:cs="黑体"/>
          <w:b w:val="0"/>
          <w:bCs w:val="0"/>
          <w:color w:val="auto"/>
          <w:kern w:val="0"/>
          <w:sz w:val="28"/>
          <w:szCs w:val="28"/>
          <w:highlight w:val="none"/>
        </w:rPr>
        <w:t>、对本次</w:t>
      </w:r>
      <w:r>
        <w:rPr>
          <w:rFonts w:hint="eastAsia" w:ascii="黑体" w:hAnsi="黑体" w:cs="黑体"/>
          <w:b w:val="0"/>
          <w:bCs w:val="0"/>
          <w:color w:val="auto"/>
          <w:kern w:val="0"/>
          <w:sz w:val="28"/>
          <w:szCs w:val="28"/>
          <w:highlight w:val="none"/>
          <w:lang w:val="en-US" w:eastAsia="zh-CN"/>
        </w:rPr>
        <w:t>发包</w:t>
      </w:r>
      <w:r>
        <w:rPr>
          <w:rFonts w:hint="eastAsia" w:ascii="黑体" w:hAnsi="黑体" w:cs="黑体"/>
          <w:b w:val="0"/>
          <w:bCs w:val="0"/>
          <w:color w:val="auto"/>
          <w:kern w:val="0"/>
          <w:sz w:val="28"/>
          <w:szCs w:val="28"/>
          <w:highlight w:val="none"/>
        </w:rPr>
        <w:t>提出询问，请按以下方式联系。</w:t>
      </w:r>
      <w:bookmarkEnd w:id="55"/>
      <w:bookmarkEnd w:id="56"/>
      <w:bookmarkEnd w:id="57"/>
      <w:bookmarkEnd w:id="58"/>
    </w:p>
    <w:p w14:paraId="0F765D78">
      <w:pPr>
        <w:pageBreakBefore w:val="0"/>
        <w:widowControl/>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bidi="ar"/>
        </w:rPr>
        <w:t>1.</w:t>
      </w:r>
      <w:r>
        <w:rPr>
          <w:rFonts w:hint="eastAsia" w:ascii="仿宋" w:hAnsi="仿宋" w:eastAsia="仿宋" w:cs="仿宋"/>
          <w:bCs/>
          <w:color w:val="auto"/>
          <w:sz w:val="28"/>
          <w:szCs w:val="28"/>
          <w:highlight w:val="none"/>
          <w:lang w:eastAsia="zh-CN" w:bidi="ar"/>
        </w:rPr>
        <w:t>发包人</w:t>
      </w:r>
      <w:r>
        <w:rPr>
          <w:rFonts w:hint="eastAsia" w:ascii="仿宋" w:hAnsi="仿宋" w:eastAsia="仿宋" w:cs="仿宋"/>
          <w:bCs/>
          <w:color w:val="auto"/>
          <w:sz w:val="28"/>
          <w:szCs w:val="28"/>
          <w:highlight w:val="none"/>
          <w:lang w:bidi="ar"/>
        </w:rPr>
        <w:t>信息</w:t>
      </w:r>
    </w:p>
    <w:p w14:paraId="5063CAAE">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名  称：</w:t>
      </w:r>
      <w:r>
        <w:rPr>
          <w:rFonts w:hint="eastAsia" w:ascii="仿宋" w:hAnsi="仿宋" w:eastAsia="仿宋" w:cs="仿宋"/>
          <w:bCs/>
          <w:sz w:val="28"/>
          <w:szCs w:val="28"/>
          <w:lang w:eastAsia="zh-CN"/>
        </w:rPr>
        <w:t>六安市医疗保障局</w:t>
      </w:r>
    </w:p>
    <w:p w14:paraId="15E7BC08">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地  址：六安市佛子岭路人力资源和社会保障局大楼</w:t>
      </w:r>
    </w:p>
    <w:p w14:paraId="3F88278A">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default" w:ascii="仿宋" w:hAnsi="仿宋" w:eastAsia="仿宋" w:cs="仿宋"/>
          <w:bCs/>
          <w:color w:val="auto"/>
          <w:sz w:val="28"/>
          <w:szCs w:val="28"/>
          <w:highlight w:val="none"/>
          <w:u w:val="single"/>
          <w:lang w:val="en-US" w:eastAsia="zh-CN"/>
        </w:rPr>
      </w:pPr>
      <w:r>
        <w:rPr>
          <w:rFonts w:hint="eastAsia" w:ascii="仿宋" w:hAnsi="仿宋" w:eastAsia="仿宋" w:cs="仿宋"/>
          <w:bCs/>
          <w:color w:val="auto"/>
          <w:sz w:val="28"/>
          <w:szCs w:val="28"/>
          <w:highlight w:val="none"/>
          <w:lang w:bidi="ar"/>
        </w:rPr>
        <w:t>联系方式：0564-</w:t>
      </w:r>
      <w:r>
        <w:rPr>
          <w:rFonts w:hint="eastAsia" w:ascii="仿宋" w:hAnsi="仿宋" w:eastAsia="仿宋" w:cs="仿宋"/>
          <w:bCs/>
          <w:color w:val="auto"/>
          <w:sz w:val="28"/>
          <w:szCs w:val="28"/>
          <w:highlight w:val="none"/>
          <w:lang w:val="en-US" w:eastAsia="zh-CN" w:bidi="ar"/>
        </w:rPr>
        <w:t>3376106</w:t>
      </w:r>
    </w:p>
    <w:p w14:paraId="019A6413">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bidi="ar"/>
        </w:rPr>
        <w:t>2</w:t>
      </w:r>
      <w:r>
        <w:rPr>
          <w:rFonts w:hint="eastAsia" w:ascii="仿宋" w:hAnsi="仿宋" w:eastAsia="仿宋" w:cs="仿宋"/>
          <w:bCs/>
          <w:color w:val="auto"/>
          <w:sz w:val="28"/>
          <w:szCs w:val="28"/>
          <w:highlight w:val="none"/>
          <w:lang w:bidi="ar"/>
        </w:rPr>
        <w:t>.代理机构信息</w:t>
      </w:r>
    </w:p>
    <w:p w14:paraId="79D61518">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sz w:val="28"/>
          <w:szCs w:val="28"/>
          <w:highlight w:val="none"/>
          <w:lang w:bidi="ar"/>
        </w:rPr>
      </w:pPr>
      <w:r>
        <w:rPr>
          <w:rFonts w:hint="eastAsia" w:ascii="仿宋" w:hAnsi="仿宋" w:eastAsia="仿宋" w:cs="仿宋"/>
          <w:bCs/>
          <w:color w:val="auto"/>
          <w:sz w:val="28"/>
          <w:szCs w:val="28"/>
          <w:highlight w:val="none"/>
          <w:lang w:bidi="ar"/>
        </w:rPr>
        <w:t>名  称：</w:t>
      </w:r>
      <w:r>
        <w:rPr>
          <w:rFonts w:hint="eastAsia" w:ascii="仿宋" w:hAnsi="仿宋" w:eastAsia="仿宋" w:cs="仿宋"/>
          <w:bCs/>
          <w:sz w:val="28"/>
          <w:szCs w:val="28"/>
        </w:rPr>
        <w:t>安徽省六投项目管理有限公司</w:t>
      </w:r>
    </w:p>
    <w:p w14:paraId="13DE288C">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地  址：</w:t>
      </w:r>
      <w:r>
        <w:rPr>
          <w:rFonts w:hint="eastAsia" w:ascii="仿宋" w:hAnsi="仿宋" w:eastAsia="仿宋" w:cs="仿宋"/>
          <w:bCs/>
          <w:sz w:val="28"/>
          <w:szCs w:val="28"/>
        </w:rPr>
        <w:t>六安市金安区东市街道长安南路620号城投大厦7楼</w:t>
      </w:r>
      <w:r>
        <w:rPr>
          <w:rFonts w:hint="eastAsia" w:ascii="仿宋" w:hAnsi="仿宋" w:eastAsia="仿宋" w:cs="仿宋"/>
          <w:bCs/>
          <w:color w:val="auto"/>
          <w:sz w:val="28"/>
          <w:szCs w:val="28"/>
          <w:highlight w:val="none"/>
        </w:rPr>
        <w:t xml:space="preserve"> </w:t>
      </w:r>
    </w:p>
    <w:p w14:paraId="0BFCFFEA">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联系方式：</w:t>
      </w:r>
      <w:r>
        <w:rPr>
          <w:rFonts w:hint="eastAsia" w:ascii="仿宋" w:hAnsi="仿宋" w:eastAsia="仿宋" w:cs="仿宋"/>
          <w:bCs/>
          <w:sz w:val="28"/>
          <w:szCs w:val="28"/>
          <w:lang w:eastAsia="zh-CN"/>
        </w:rPr>
        <w:t>0564-3270017</w:t>
      </w:r>
    </w:p>
    <w:p w14:paraId="746ACE43">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bidi="ar"/>
        </w:rPr>
        <w:t>3</w:t>
      </w:r>
      <w:r>
        <w:rPr>
          <w:rFonts w:hint="eastAsia" w:ascii="仿宋" w:hAnsi="仿宋" w:eastAsia="仿宋" w:cs="仿宋"/>
          <w:bCs/>
          <w:color w:val="auto"/>
          <w:sz w:val="28"/>
          <w:szCs w:val="28"/>
          <w:highlight w:val="none"/>
          <w:lang w:bidi="ar"/>
        </w:rPr>
        <w:t>.项目联系方式</w:t>
      </w:r>
    </w:p>
    <w:p w14:paraId="76A11F2B">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default" w:ascii="仿宋" w:hAnsi="仿宋" w:eastAsia="仿宋" w:cs="仿宋"/>
          <w:bCs/>
          <w:color w:val="auto"/>
          <w:sz w:val="28"/>
          <w:szCs w:val="28"/>
          <w:highlight w:val="none"/>
          <w:lang w:val="en-US" w:eastAsia="zh-CN" w:bidi="ar"/>
        </w:rPr>
      </w:pPr>
      <w:r>
        <w:rPr>
          <w:rFonts w:hint="eastAsia" w:ascii="仿宋" w:hAnsi="仿宋" w:eastAsia="仿宋" w:cs="仿宋"/>
          <w:bCs/>
          <w:color w:val="auto"/>
          <w:sz w:val="28"/>
          <w:szCs w:val="28"/>
          <w:highlight w:val="none"/>
          <w:lang w:bidi="ar"/>
        </w:rPr>
        <w:t>项目联系人：</w:t>
      </w:r>
      <w:r>
        <w:rPr>
          <w:rFonts w:hint="eastAsia" w:ascii="仿宋" w:hAnsi="仿宋" w:eastAsia="仿宋" w:cs="仿宋"/>
          <w:bCs/>
          <w:color w:val="auto"/>
          <w:sz w:val="28"/>
          <w:szCs w:val="28"/>
          <w:highlight w:val="none"/>
          <w:lang w:val="en-US" w:eastAsia="zh-CN" w:bidi="ar"/>
        </w:rPr>
        <w:t>崔工</w:t>
      </w:r>
    </w:p>
    <w:p w14:paraId="6AAD610B">
      <w:pPr>
        <w:pageBreakBefore w:val="0"/>
        <w:kinsoku/>
        <w:wordWrap/>
        <w:overflowPunct/>
        <w:topLinePunct w:val="0"/>
        <w:autoSpaceDE/>
        <w:autoSpaceDN/>
        <w:bidi w:val="0"/>
        <w:adjustRightInd/>
        <w:snapToGrid/>
        <w:spacing w:line="560" w:lineRule="exact"/>
        <w:ind w:left="0" w:firstLine="560" w:firstLineChars="200"/>
        <w:jc w:val="both"/>
        <w:textAlignment w:val="auto"/>
        <w:rPr>
          <w:rFonts w:hint="eastAsia" w:ascii="仿宋" w:hAnsi="仿宋" w:eastAsia="仿宋" w:cs="仿宋"/>
          <w:bCs/>
          <w:color w:val="auto"/>
          <w:sz w:val="28"/>
          <w:szCs w:val="28"/>
          <w:highlight w:val="none"/>
          <w:lang w:bidi="ar"/>
        </w:rPr>
      </w:pPr>
      <w:r>
        <w:rPr>
          <w:rFonts w:hint="eastAsia" w:ascii="仿宋" w:hAnsi="仿宋" w:eastAsia="仿宋" w:cs="仿宋"/>
          <w:bCs/>
          <w:color w:val="auto"/>
          <w:sz w:val="28"/>
          <w:szCs w:val="28"/>
          <w:highlight w:val="none"/>
          <w:lang w:bidi="ar"/>
        </w:rPr>
        <w:t>电  话：</w:t>
      </w:r>
      <w:r>
        <w:rPr>
          <w:rFonts w:hint="eastAsia" w:ascii="仿宋" w:hAnsi="仿宋" w:eastAsia="仿宋" w:cs="仿宋"/>
          <w:bCs/>
          <w:sz w:val="28"/>
          <w:szCs w:val="28"/>
          <w:lang w:eastAsia="zh-CN"/>
        </w:rPr>
        <w:t>0564-3270017</w:t>
      </w:r>
    </w:p>
    <w:p w14:paraId="4E6600D8">
      <w:pPr>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Cs/>
          <w:color w:val="auto"/>
          <w:sz w:val="28"/>
          <w:szCs w:val="28"/>
          <w:highlight w:val="none"/>
        </w:rPr>
      </w:pPr>
    </w:p>
    <w:p w14:paraId="2EA88E75">
      <w:pPr>
        <w:pageBreakBefore w:val="0"/>
        <w:kinsoku/>
        <w:wordWrap/>
        <w:overflowPunct/>
        <w:topLinePunct w:val="0"/>
        <w:autoSpaceDE/>
        <w:autoSpaceDN/>
        <w:bidi w:val="0"/>
        <w:adjustRightInd/>
        <w:snapToGrid/>
        <w:spacing w:line="560" w:lineRule="exact"/>
        <w:jc w:val="righ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lang w:val="en-US" w:eastAsia="zh-CN"/>
        </w:rPr>
        <w:t>9</w:t>
      </w:r>
      <w:r>
        <w:rPr>
          <w:rFonts w:hint="eastAsia" w:ascii="仿宋" w:hAnsi="仿宋" w:eastAsia="仿宋" w:cs="仿宋"/>
          <w:bCs/>
          <w:color w:val="auto"/>
          <w:sz w:val="28"/>
          <w:szCs w:val="28"/>
          <w:highlight w:val="none"/>
        </w:rPr>
        <w:t>日</w:t>
      </w:r>
    </w:p>
    <w:p w14:paraId="6AF9EE87">
      <w:pPr>
        <w:spacing w:line="360" w:lineRule="auto"/>
        <w:jc w:val="both"/>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5B3A134">
      <w:pPr>
        <w:spacing w:line="360" w:lineRule="auto"/>
        <w:jc w:val="center"/>
        <w:outlineLvl w:val="0"/>
        <w:rPr>
          <w:rFonts w:hint="eastAsia" w:ascii="宋体" w:hAnsi="宋体" w:eastAsia="宋体" w:cs="宋体"/>
          <w:b/>
          <w:color w:val="auto"/>
          <w:sz w:val="28"/>
          <w:highlight w:val="none"/>
        </w:rPr>
      </w:pPr>
      <w:bookmarkStart w:id="59" w:name="_Toc14251"/>
      <w:r>
        <w:rPr>
          <w:rFonts w:hint="eastAsia" w:ascii="宋体" w:hAnsi="宋体" w:eastAsia="宋体" w:cs="宋体"/>
          <w:b/>
          <w:color w:val="auto"/>
          <w:sz w:val="28"/>
          <w:highlight w:val="none"/>
        </w:rPr>
        <w:t>第二章  供应商须知</w:t>
      </w:r>
      <w:bookmarkEnd w:id="59"/>
    </w:p>
    <w:p w14:paraId="18624DB9">
      <w:pPr>
        <w:spacing w:line="360" w:lineRule="auto"/>
        <w:jc w:val="center"/>
        <w:outlineLvl w:val="1"/>
        <w:rPr>
          <w:rFonts w:hint="eastAsia" w:ascii="宋体" w:hAnsi="宋体" w:eastAsia="宋体" w:cs="宋体"/>
          <w:b/>
          <w:color w:val="auto"/>
          <w:sz w:val="24"/>
          <w:highlight w:val="none"/>
        </w:rPr>
      </w:pPr>
      <w:bookmarkStart w:id="60" w:name="_Toc25192"/>
      <w:bookmarkStart w:id="61" w:name="_Toc27131"/>
      <w:bookmarkStart w:id="62" w:name="_Toc11709"/>
      <w:bookmarkStart w:id="63" w:name="_Toc11383"/>
      <w:r>
        <w:rPr>
          <w:rFonts w:hint="eastAsia" w:ascii="宋体" w:hAnsi="宋体" w:eastAsia="宋体" w:cs="宋体"/>
          <w:b/>
          <w:color w:val="auto"/>
          <w:sz w:val="24"/>
          <w:highlight w:val="none"/>
        </w:rPr>
        <w:t>一、供应商须知前附表</w:t>
      </w:r>
      <w:bookmarkEnd w:id="60"/>
      <w:bookmarkEnd w:id="61"/>
      <w:bookmarkEnd w:id="62"/>
      <w:bookmarkEnd w:id="63"/>
    </w:p>
    <w:p w14:paraId="743BA436">
      <w:pPr>
        <w:spacing w:line="360" w:lineRule="auto"/>
        <w:ind w:firstLine="435"/>
        <w:rPr>
          <w:rFonts w:hint="eastAsia" w:ascii="宋体" w:hAnsi="宋体" w:eastAsia="宋体" w:cs="宋体"/>
          <w:color w:val="auto"/>
          <w:sz w:val="24"/>
          <w:szCs w:val="18"/>
          <w:highlight w:val="none"/>
        </w:rPr>
      </w:pPr>
      <w:r>
        <w:rPr>
          <w:rFonts w:hint="eastAsia" w:ascii="宋体" w:hAnsi="宋体" w:eastAsia="宋体" w:cs="宋体"/>
          <w:b/>
          <w:bCs/>
          <w:color w:val="auto"/>
          <w:sz w:val="24"/>
          <w:szCs w:val="18"/>
          <w:highlight w:val="none"/>
        </w:rPr>
        <w:t>注：</w:t>
      </w:r>
      <w:r>
        <w:rPr>
          <w:rFonts w:hint="eastAsia" w:ascii="宋体" w:hAnsi="宋体" w:eastAsia="宋体" w:cs="宋体"/>
          <w:color w:val="auto"/>
          <w:sz w:val="24"/>
          <w:szCs w:val="18"/>
          <w:highlight w:val="none"/>
        </w:rPr>
        <w:t>本表是本项目的具体要求，是对供应商须知的具体补充和修改，如有不一致，以本表为准。</w:t>
      </w:r>
    </w:p>
    <w:tbl>
      <w:tblPr>
        <w:tblStyle w:val="24"/>
        <w:tblW w:w="55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9" w:type="dxa"/>
          <w:bottom w:w="0" w:type="dxa"/>
          <w:right w:w="79" w:type="dxa"/>
        </w:tblCellMar>
      </w:tblPr>
      <w:tblGrid>
        <w:gridCol w:w="913"/>
        <w:gridCol w:w="1373"/>
        <w:gridCol w:w="7207"/>
      </w:tblGrid>
      <w:tr w14:paraId="0FE9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678EDEE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条款号</w:t>
            </w:r>
          </w:p>
        </w:tc>
        <w:tc>
          <w:tcPr>
            <w:tcW w:w="1363" w:type="dxa"/>
            <w:vAlign w:val="center"/>
          </w:tcPr>
          <w:p w14:paraId="025163A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条款名称</w:t>
            </w:r>
          </w:p>
        </w:tc>
        <w:tc>
          <w:tcPr>
            <w:tcW w:w="7156" w:type="dxa"/>
            <w:vAlign w:val="center"/>
          </w:tcPr>
          <w:p w14:paraId="6992986F">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内容、说明与要求</w:t>
            </w:r>
          </w:p>
        </w:tc>
      </w:tr>
      <w:tr w14:paraId="1500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1B793FF2">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5.2</w:t>
            </w:r>
          </w:p>
        </w:tc>
        <w:tc>
          <w:tcPr>
            <w:tcW w:w="1363" w:type="dxa"/>
            <w:vAlign w:val="center"/>
          </w:tcPr>
          <w:p w14:paraId="5688D19C">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kern w:val="2"/>
                <w:sz w:val="24"/>
                <w:szCs w:val="22"/>
                <w:highlight w:val="none"/>
              </w:rPr>
              <w:t>现场考察或标前答疑会</w:t>
            </w:r>
          </w:p>
        </w:tc>
        <w:tc>
          <w:tcPr>
            <w:tcW w:w="7156" w:type="dxa"/>
            <w:vAlign w:val="center"/>
          </w:tcPr>
          <w:p w14:paraId="47DDBD68">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color w:val="auto"/>
                <w:sz w:val="24"/>
                <w:highlight w:val="none"/>
              </w:rPr>
              <w:t>不组织或不召开</w:t>
            </w:r>
          </w:p>
          <w:p w14:paraId="4436DCEB">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bCs/>
                <w:color w:val="auto"/>
                <w:sz w:val="24"/>
                <w:highlight w:val="none"/>
              </w:rPr>
              <w:t>统一组织</w:t>
            </w:r>
          </w:p>
          <w:p w14:paraId="7FB1D569">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分</w:t>
            </w:r>
          </w:p>
          <w:p w14:paraId="142592DC">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p>
          <w:p w14:paraId="4C364106">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p>
          <w:p w14:paraId="43548192">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Cs w:val="0"/>
                <w:color w:val="auto"/>
                <w:sz w:val="24"/>
                <w:highlight w:val="none"/>
              </w:rPr>
              <w:t>注：</w:t>
            </w:r>
            <w:r>
              <w:rPr>
                <w:rFonts w:hint="eastAsia" w:ascii="宋体" w:hAnsi="宋体" w:eastAsia="宋体" w:cs="宋体"/>
                <w:b w:val="0"/>
                <w:bCs/>
                <w:color w:val="auto"/>
                <w:sz w:val="24"/>
                <w:highlight w:val="none"/>
              </w:rPr>
              <w:t>如供应商未参加</w:t>
            </w:r>
            <w:r>
              <w:rPr>
                <w:rFonts w:hint="eastAsia" w:ascii="宋体" w:hAnsi="宋体" w:cs="宋体"/>
                <w:b w:val="0"/>
                <w:bCs/>
                <w:color w:val="auto"/>
                <w:sz w:val="24"/>
                <w:highlight w:val="none"/>
                <w:lang w:eastAsia="zh-CN"/>
              </w:rPr>
              <w:t>发包人</w:t>
            </w:r>
            <w:r>
              <w:rPr>
                <w:rFonts w:hint="eastAsia" w:ascii="宋体" w:hAnsi="宋体" w:eastAsia="宋体" w:cs="宋体"/>
                <w:b w:val="0"/>
                <w:bCs/>
                <w:color w:val="auto"/>
                <w:sz w:val="24"/>
                <w:highlight w:val="none"/>
              </w:rPr>
              <w:t>统一组织的现场考察或</w:t>
            </w:r>
            <w:r>
              <w:rPr>
                <w:rFonts w:hint="eastAsia" w:ascii="宋体" w:hAnsi="宋体" w:cs="宋体"/>
                <w:b w:val="0"/>
                <w:bCs/>
                <w:color w:val="auto"/>
                <w:sz w:val="24"/>
                <w:highlight w:val="none"/>
                <w:lang w:eastAsia="zh-CN"/>
              </w:rPr>
              <w:t>发包人</w:t>
            </w:r>
            <w:r>
              <w:rPr>
                <w:rFonts w:hint="eastAsia" w:ascii="宋体" w:hAnsi="宋体" w:eastAsia="宋体" w:cs="宋体"/>
                <w:b w:val="0"/>
                <w:bCs/>
                <w:color w:val="auto"/>
                <w:sz w:val="24"/>
                <w:highlight w:val="none"/>
              </w:rPr>
              <w:t>统一召开的标前答疑会，视同放弃现场考察或标前答疑会，由此引起的一切责任由供应商自行承担。</w:t>
            </w:r>
          </w:p>
        </w:tc>
      </w:tr>
      <w:tr w14:paraId="1B6B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79672A41">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6.1</w:t>
            </w:r>
          </w:p>
        </w:tc>
        <w:tc>
          <w:tcPr>
            <w:tcW w:w="1363" w:type="dxa"/>
            <w:vAlign w:val="center"/>
          </w:tcPr>
          <w:p w14:paraId="39C3040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询问</w:t>
            </w:r>
            <w:r>
              <w:rPr>
                <w:rFonts w:hint="eastAsia" w:ascii="宋体" w:hAnsi="宋体" w:eastAsia="宋体" w:cs="宋体"/>
                <w:b w:val="0"/>
                <w:color w:val="auto"/>
                <w:sz w:val="24"/>
                <w:highlight w:val="none"/>
                <w:lang w:val="en-US" w:eastAsia="zh-CN"/>
              </w:rPr>
              <w:t>方式</w:t>
            </w:r>
          </w:p>
        </w:tc>
        <w:tc>
          <w:tcPr>
            <w:tcW w:w="7156" w:type="dxa"/>
            <w:vAlign w:val="center"/>
          </w:tcPr>
          <w:p w14:paraId="6AEA3F37">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color w:val="auto"/>
                <w:sz w:val="24"/>
                <w:highlight w:val="none"/>
                <w:lang w:val="en-US" w:eastAsia="zh-CN"/>
              </w:rPr>
              <w:t>供应商若对</w:t>
            </w:r>
            <w:r>
              <w:rPr>
                <w:rFonts w:hint="eastAsia" w:ascii="宋体" w:hAnsi="宋体" w:cs="宋体"/>
                <w:b w:val="0"/>
                <w:bCs/>
                <w:color w:val="auto"/>
                <w:sz w:val="24"/>
                <w:highlight w:val="none"/>
                <w:lang w:val="en-US" w:eastAsia="zh-CN"/>
              </w:rPr>
              <w:t>发包文件</w:t>
            </w:r>
            <w:r>
              <w:rPr>
                <w:rFonts w:hint="eastAsia" w:ascii="宋体" w:hAnsi="宋体" w:eastAsia="宋体" w:cs="宋体"/>
                <w:b w:val="0"/>
                <w:bCs/>
                <w:color w:val="auto"/>
                <w:sz w:val="24"/>
                <w:highlight w:val="none"/>
                <w:lang w:val="en-US" w:eastAsia="zh-CN"/>
              </w:rPr>
              <w:t>有关内容存在理解障碍，或认为</w:t>
            </w:r>
            <w:r>
              <w:rPr>
                <w:rFonts w:hint="eastAsia" w:ascii="宋体" w:hAnsi="宋体" w:cs="宋体"/>
                <w:b w:val="0"/>
                <w:bCs/>
                <w:color w:val="auto"/>
                <w:sz w:val="24"/>
                <w:highlight w:val="none"/>
                <w:lang w:val="en-US" w:eastAsia="zh-CN"/>
              </w:rPr>
              <w:t>发包文件</w:t>
            </w:r>
            <w:r>
              <w:rPr>
                <w:rFonts w:hint="eastAsia" w:ascii="宋体" w:hAnsi="宋体" w:eastAsia="宋体" w:cs="宋体"/>
                <w:b w:val="0"/>
                <w:bCs/>
                <w:color w:val="auto"/>
                <w:sz w:val="24"/>
                <w:highlight w:val="none"/>
                <w:lang w:val="en-US" w:eastAsia="zh-CN"/>
              </w:rPr>
              <w:t>表述有模糊不清之处，可通过书面形式向</w:t>
            </w:r>
            <w:r>
              <w:rPr>
                <w:rFonts w:hint="eastAsia" w:ascii="宋体" w:hAnsi="宋体" w:cs="宋体"/>
                <w:b w:val="0"/>
                <w:bCs/>
                <w:color w:val="auto"/>
                <w:sz w:val="24"/>
                <w:highlight w:val="none"/>
                <w:lang w:val="en-US" w:eastAsia="zh-CN"/>
              </w:rPr>
              <w:t>发包人</w:t>
            </w:r>
            <w:r>
              <w:rPr>
                <w:rFonts w:hint="eastAsia" w:ascii="宋体" w:hAnsi="宋体" w:eastAsia="宋体" w:cs="宋体"/>
                <w:b w:val="0"/>
                <w:bCs/>
                <w:color w:val="auto"/>
                <w:sz w:val="24"/>
                <w:highlight w:val="none"/>
                <w:lang w:val="en-US" w:eastAsia="zh-CN"/>
              </w:rPr>
              <w:t>（</w:t>
            </w:r>
            <w:r>
              <w:rPr>
                <w:rFonts w:hint="eastAsia" w:ascii="宋体" w:hAnsi="宋体" w:cs="宋体"/>
                <w:b w:val="0"/>
                <w:bCs/>
                <w:color w:val="auto"/>
                <w:sz w:val="24"/>
                <w:highlight w:val="none"/>
                <w:lang w:val="en-US" w:eastAsia="zh-CN"/>
              </w:rPr>
              <w:t>代理机构</w:t>
            </w:r>
            <w:r>
              <w:rPr>
                <w:rFonts w:hint="eastAsia" w:ascii="宋体" w:hAnsi="宋体" w:eastAsia="宋体" w:cs="宋体"/>
                <w:b w:val="0"/>
                <w:bCs/>
                <w:color w:val="auto"/>
                <w:sz w:val="24"/>
                <w:highlight w:val="none"/>
                <w:lang w:val="en-US" w:eastAsia="zh-CN"/>
              </w:rPr>
              <w:t>）提出，</w:t>
            </w:r>
            <w:r>
              <w:rPr>
                <w:rFonts w:hint="eastAsia" w:ascii="宋体" w:hAnsi="宋体" w:cs="宋体"/>
                <w:b w:val="0"/>
                <w:bCs/>
                <w:color w:val="auto"/>
                <w:sz w:val="24"/>
                <w:highlight w:val="none"/>
                <w:lang w:val="en-US" w:eastAsia="zh-CN"/>
              </w:rPr>
              <w:t>发包人</w:t>
            </w:r>
            <w:r>
              <w:rPr>
                <w:rFonts w:hint="eastAsia" w:ascii="宋体" w:hAnsi="宋体" w:eastAsia="宋体" w:cs="宋体"/>
                <w:b w:val="0"/>
                <w:bCs/>
                <w:color w:val="auto"/>
                <w:sz w:val="24"/>
                <w:highlight w:val="none"/>
                <w:lang w:val="en-US" w:eastAsia="zh-CN"/>
              </w:rPr>
              <w:t>（</w:t>
            </w:r>
            <w:r>
              <w:rPr>
                <w:rFonts w:hint="eastAsia" w:ascii="宋体" w:hAnsi="宋体" w:cs="宋体"/>
                <w:b w:val="0"/>
                <w:bCs/>
                <w:color w:val="auto"/>
                <w:sz w:val="24"/>
                <w:highlight w:val="none"/>
                <w:lang w:val="en-US" w:eastAsia="zh-CN"/>
              </w:rPr>
              <w:t>代理机构</w:t>
            </w:r>
            <w:r>
              <w:rPr>
                <w:rFonts w:hint="eastAsia" w:ascii="宋体" w:hAnsi="宋体" w:eastAsia="宋体" w:cs="宋体"/>
                <w:b w:val="0"/>
                <w:bCs/>
                <w:color w:val="auto"/>
                <w:sz w:val="24"/>
                <w:highlight w:val="none"/>
                <w:lang w:val="en-US" w:eastAsia="zh-CN"/>
              </w:rPr>
              <w:t>）收到供应商询问后将及时回复。该渠道仅接受关于项目的一般性疑问（非质疑），供应商提问时应当隐藏自身信息，直接提出针对项目的相关疑问即可。</w:t>
            </w:r>
          </w:p>
        </w:tc>
      </w:tr>
      <w:tr w14:paraId="4995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1014" w:hRule="atLeast"/>
          <w:jc w:val="center"/>
        </w:trPr>
        <w:tc>
          <w:tcPr>
            <w:tcW w:w="907" w:type="dxa"/>
            <w:vAlign w:val="center"/>
          </w:tcPr>
          <w:p w14:paraId="664A5E22">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7.1</w:t>
            </w:r>
          </w:p>
        </w:tc>
        <w:tc>
          <w:tcPr>
            <w:tcW w:w="1363" w:type="dxa"/>
            <w:vAlign w:val="center"/>
          </w:tcPr>
          <w:p w14:paraId="6668162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包别划分</w:t>
            </w:r>
          </w:p>
        </w:tc>
        <w:tc>
          <w:tcPr>
            <w:tcW w:w="7156" w:type="dxa"/>
            <w:vAlign w:val="center"/>
          </w:tcPr>
          <w:p w14:paraId="73413FB5">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color w:val="auto"/>
                <w:sz w:val="24"/>
                <w:highlight w:val="none"/>
              </w:rPr>
              <w:t>不分包     □分为</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u w:val="single"/>
                <w:lang w:val="en-US" w:eastAsia="zh-CN"/>
              </w:rPr>
              <w:t xml:space="preserve"> </w:t>
            </w:r>
            <w:r>
              <w:rPr>
                <w:rFonts w:hint="eastAsia" w:ascii="宋体" w:hAnsi="宋体" w:eastAsia="宋体" w:cs="宋体"/>
                <w:b w:val="0"/>
                <w:color w:val="auto"/>
                <w:sz w:val="24"/>
                <w:highlight w:val="none"/>
              </w:rPr>
              <w:t>个包</w:t>
            </w:r>
          </w:p>
          <w:p w14:paraId="64057A8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rPr>
              <w:t>供应商参加多个包的成交包数规定：</w:t>
            </w:r>
            <w:r>
              <w:rPr>
                <w:rFonts w:hint="eastAsia" w:ascii="宋体" w:hAnsi="宋体" w:eastAsia="宋体" w:cs="宋体"/>
                <w:b w:val="0"/>
                <w:bCs w:val="0"/>
                <w:color w:val="auto"/>
                <w:sz w:val="24"/>
                <w:szCs w:val="18"/>
                <w:highlight w:val="none"/>
                <w:u w:val="single"/>
              </w:rPr>
              <w:t xml:space="preserve">              </w:t>
            </w:r>
          </w:p>
        </w:tc>
      </w:tr>
      <w:tr w14:paraId="5625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75" w:hRule="atLeast"/>
          <w:jc w:val="center"/>
        </w:trPr>
        <w:tc>
          <w:tcPr>
            <w:tcW w:w="907" w:type="dxa"/>
            <w:vAlign w:val="center"/>
          </w:tcPr>
          <w:p w14:paraId="7BBD5CA5">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10.1</w:t>
            </w:r>
          </w:p>
        </w:tc>
        <w:tc>
          <w:tcPr>
            <w:tcW w:w="1363" w:type="dxa"/>
            <w:vAlign w:val="center"/>
          </w:tcPr>
          <w:p w14:paraId="2ECFE864">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cs="宋体"/>
                <w:b w:val="0"/>
                <w:color w:val="auto"/>
                <w:sz w:val="24"/>
                <w:highlight w:val="none"/>
                <w:lang w:val="en-US" w:eastAsia="zh-CN"/>
              </w:rPr>
              <w:t>发包</w:t>
            </w:r>
            <w:r>
              <w:rPr>
                <w:rFonts w:hint="eastAsia" w:ascii="宋体" w:hAnsi="宋体" w:eastAsia="宋体" w:cs="宋体"/>
                <w:b w:val="0"/>
                <w:color w:val="auto"/>
                <w:sz w:val="24"/>
                <w:highlight w:val="none"/>
              </w:rPr>
              <w:t>保证金</w:t>
            </w:r>
          </w:p>
        </w:tc>
        <w:tc>
          <w:tcPr>
            <w:tcW w:w="7156" w:type="dxa"/>
            <w:vAlign w:val="center"/>
          </w:tcPr>
          <w:p w14:paraId="0439E18F">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不收取</w:t>
            </w:r>
          </w:p>
        </w:tc>
      </w:tr>
      <w:tr w14:paraId="7384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616" w:hRule="atLeast"/>
          <w:jc w:val="center"/>
        </w:trPr>
        <w:tc>
          <w:tcPr>
            <w:tcW w:w="907" w:type="dxa"/>
            <w:vAlign w:val="center"/>
          </w:tcPr>
          <w:p w14:paraId="0E966DB5">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11.1</w:t>
            </w:r>
          </w:p>
        </w:tc>
        <w:tc>
          <w:tcPr>
            <w:tcW w:w="1363" w:type="dxa"/>
            <w:vAlign w:val="center"/>
          </w:tcPr>
          <w:p w14:paraId="76F615A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cs="宋体"/>
                <w:b w:val="0"/>
                <w:color w:val="auto"/>
                <w:sz w:val="24"/>
                <w:highlight w:val="none"/>
                <w:lang w:val="en-US" w:eastAsia="zh-CN"/>
              </w:rPr>
              <w:t>发包</w:t>
            </w:r>
            <w:r>
              <w:rPr>
                <w:rFonts w:hint="eastAsia" w:ascii="宋体" w:hAnsi="宋体" w:eastAsia="宋体" w:cs="宋体"/>
                <w:b w:val="0"/>
                <w:color w:val="auto"/>
                <w:sz w:val="24"/>
                <w:highlight w:val="none"/>
              </w:rPr>
              <w:t>有效期</w:t>
            </w:r>
          </w:p>
        </w:tc>
        <w:tc>
          <w:tcPr>
            <w:tcW w:w="7156" w:type="dxa"/>
            <w:vAlign w:val="center"/>
          </w:tcPr>
          <w:p w14:paraId="344577F5">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u w:val="none"/>
                <w:lang w:val="en-US" w:eastAsia="zh-CN"/>
              </w:rPr>
              <w:t>90个</w:t>
            </w:r>
            <w:r>
              <w:rPr>
                <w:rFonts w:hint="eastAsia" w:ascii="宋体" w:hAnsi="宋体" w:eastAsia="宋体" w:cs="宋体"/>
                <w:b w:val="0"/>
                <w:color w:val="auto"/>
                <w:sz w:val="24"/>
                <w:highlight w:val="none"/>
                <w:u w:val="none"/>
              </w:rPr>
              <w:t>日历日</w:t>
            </w:r>
          </w:p>
        </w:tc>
      </w:tr>
      <w:tr w14:paraId="3569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911" w:hRule="atLeast"/>
          <w:jc w:val="center"/>
        </w:trPr>
        <w:tc>
          <w:tcPr>
            <w:tcW w:w="907" w:type="dxa"/>
            <w:vAlign w:val="center"/>
          </w:tcPr>
          <w:p w14:paraId="084F95E5">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12.3</w:t>
            </w:r>
          </w:p>
        </w:tc>
        <w:tc>
          <w:tcPr>
            <w:tcW w:w="1363" w:type="dxa"/>
            <w:vAlign w:val="center"/>
          </w:tcPr>
          <w:p w14:paraId="1520643A">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响应文件</w:t>
            </w:r>
            <w:r>
              <w:rPr>
                <w:rFonts w:hint="eastAsia" w:ascii="宋体" w:hAnsi="宋体" w:eastAsia="宋体" w:cs="宋体"/>
                <w:b w:val="0"/>
                <w:color w:val="auto"/>
                <w:sz w:val="24"/>
                <w:highlight w:val="none"/>
                <w:lang w:val="en-US" w:eastAsia="zh-CN"/>
              </w:rPr>
              <w:t>递交要求</w:t>
            </w:r>
          </w:p>
        </w:tc>
        <w:tc>
          <w:tcPr>
            <w:tcW w:w="7156" w:type="dxa"/>
            <w:vAlign w:val="center"/>
          </w:tcPr>
          <w:p w14:paraId="7A49DDA0">
            <w:pPr>
              <w:pStyle w:val="7"/>
              <w:keepNext w:val="0"/>
              <w:keepLines w:val="0"/>
              <w:pageBreakBefore w:val="0"/>
              <w:numPr>
                <w:ilvl w:val="0"/>
                <w:numId w:val="0"/>
              </w:numPr>
              <w:kinsoku/>
              <w:wordWrap/>
              <w:overflowPunct/>
              <w:topLinePunct w:val="0"/>
              <w:autoSpaceDE/>
              <w:autoSpaceDN/>
              <w:bidi w:val="0"/>
              <w:adjustRightInd/>
              <w:snapToGrid/>
              <w:spacing w:beforeAutospacing="0" w:afterAutospacing="0" w:line="400" w:lineRule="exac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（1）响应文件份数及要求：纸质版响应文件正本壹份、副本贰份</w:t>
            </w:r>
            <w:r>
              <w:rPr>
                <w:rFonts w:hint="eastAsia" w:ascii="宋体" w:hAnsi="宋体" w:eastAsia="宋体" w:cs="宋体"/>
                <w:b w:val="0"/>
                <w:color w:val="auto"/>
                <w:sz w:val="24"/>
                <w:highlight w:val="none"/>
                <w:u w:val="none"/>
              </w:rPr>
              <w:t>，胶装成册、密封提交。</w:t>
            </w:r>
            <w:r>
              <w:rPr>
                <w:rFonts w:hint="eastAsia" w:ascii="宋体" w:hAnsi="宋体" w:eastAsia="宋体" w:cs="宋体"/>
                <w:color w:val="auto"/>
                <w:kern w:val="0"/>
                <w:sz w:val="24"/>
                <w:szCs w:val="24"/>
                <w:highlight w:val="none"/>
                <w:lang w:val="en-US" w:eastAsia="zh-CN"/>
              </w:rPr>
              <w:t>电子版响应文件壹份（加盖公章或电子章，U盘存储）。</w:t>
            </w:r>
          </w:p>
          <w:p w14:paraId="1A88F50B">
            <w:pPr>
              <w:pStyle w:val="7"/>
              <w:keepNext w:val="0"/>
              <w:keepLines w:val="0"/>
              <w:pageBreakBefore w:val="0"/>
              <w:numPr>
                <w:ilvl w:val="0"/>
                <w:numId w:val="0"/>
              </w:numPr>
              <w:kinsoku/>
              <w:wordWrap/>
              <w:overflowPunct/>
              <w:topLinePunct w:val="0"/>
              <w:autoSpaceDE/>
              <w:autoSpaceDN/>
              <w:bidi w:val="0"/>
              <w:adjustRightInd/>
              <w:snapToGrid/>
              <w:spacing w:beforeAutospacing="0" w:afterAutospacing="0" w:line="400" w:lineRule="exac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（2）递交响应文件注意事项：纸质版响应文件必须在响应截止时间前现场签到并递交。</w:t>
            </w:r>
          </w:p>
        </w:tc>
      </w:tr>
      <w:tr w14:paraId="6E26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88" w:hRule="atLeast"/>
          <w:jc w:val="center"/>
        </w:trPr>
        <w:tc>
          <w:tcPr>
            <w:tcW w:w="907" w:type="dxa"/>
            <w:vAlign w:val="center"/>
          </w:tcPr>
          <w:p w14:paraId="5A68E1BB">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13.1</w:t>
            </w:r>
          </w:p>
        </w:tc>
        <w:tc>
          <w:tcPr>
            <w:tcW w:w="1363" w:type="dxa"/>
            <w:vAlign w:val="center"/>
          </w:tcPr>
          <w:p w14:paraId="53A3AD40">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lang w:val="en-US" w:eastAsia="zh-CN"/>
              </w:rPr>
            </w:pPr>
            <w:r>
              <w:rPr>
                <w:rFonts w:hint="eastAsia" w:ascii="宋体" w:hAnsi="宋体" w:cs="宋体"/>
                <w:b w:val="0"/>
                <w:color w:val="auto"/>
                <w:sz w:val="24"/>
                <w:highlight w:val="none"/>
                <w:lang w:val="en-US" w:eastAsia="zh-CN"/>
              </w:rPr>
              <w:t>评审</w:t>
            </w:r>
            <w:r>
              <w:rPr>
                <w:rFonts w:hint="eastAsia" w:ascii="宋体" w:hAnsi="宋体" w:eastAsia="宋体" w:cs="宋体"/>
                <w:b w:val="0"/>
                <w:color w:val="auto"/>
                <w:sz w:val="24"/>
                <w:highlight w:val="none"/>
                <w:lang w:val="en-US" w:eastAsia="zh-CN"/>
              </w:rPr>
              <w:t>小组</w:t>
            </w:r>
          </w:p>
        </w:tc>
        <w:tc>
          <w:tcPr>
            <w:tcW w:w="7156" w:type="dxa"/>
            <w:vAlign w:val="center"/>
          </w:tcPr>
          <w:p w14:paraId="2577A2A8">
            <w:pPr>
              <w:pStyle w:val="7"/>
              <w:keepNext w:val="0"/>
              <w:keepLines w:val="0"/>
              <w:pageBreakBefore w:val="0"/>
              <w:numPr>
                <w:ilvl w:val="0"/>
                <w:numId w:val="0"/>
              </w:numPr>
              <w:kinsoku/>
              <w:wordWrap/>
              <w:overflowPunct/>
              <w:topLinePunct w:val="0"/>
              <w:autoSpaceDE/>
              <w:autoSpaceDN/>
              <w:bidi w:val="0"/>
              <w:adjustRightInd/>
              <w:snapToGrid/>
              <w:spacing w:beforeAutospacing="0" w:afterAutospacing="0" w:line="400" w:lineRule="exac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highlight w:val="none"/>
                <w:lang w:val="en-US" w:eastAsia="zh-CN"/>
              </w:rPr>
              <w:t>本项目评审小组人数：</w:t>
            </w:r>
            <w:r>
              <w:rPr>
                <w:rFonts w:hint="eastAsia" w:ascii="宋体" w:hAnsi="宋体" w:eastAsia="宋体" w:cs="宋体"/>
                <w:color w:val="auto"/>
                <w:sz w:val="24"/>
                <w:highlight w:val="none"/>
                <w:u w:val="single"/>
                <w:lang w:val="en-US" w:eastAsia="zh-CN"/>
              </w:rPr>
              <w:t xml:space="preserve"> 3 </w:t>
            </w:r>
            <w:r>
              <w:rPr>
                <w:rFonts w:hint="eastAsia" w:ascii="宋体" w:hAnsi="宋体" w:eastAsia="宋体" w:cs="宋体"/>
                <w:color w:val="auto"/>
                <w:sz w:val="24"/>
                <w:highlight w:val="none"/>
                <w:u w:val="none"/>
                <w:lang w:val="en-US" w:eastAsia="zh-CN"/>
              </w:rPr>
              <w:t>人。</w:t>
            </w:r>
          </w:p>
        </w:tc>
      </w:tr>
      <w:tr w14:paraId="0B2E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63828903">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14.2</w:t>
            </w:r>
          </w:p>
        </w:tc>
        <w:tc>
          <w:tcPr>
            <w:tcW w:w="1363" w:type="dxa"/>
            <w:vAlign w:val="center"/>
          </w:tcPr>
          <w:p w14:paraId="12B56016">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评审方法</w:t>
            </w:r>
          </w:p>
        </w:tc>
        <w:tc>
          <w:tcPr>
            <w:tcW w:w="7156" w:type="dxa"/>
            <w:vAlign w:val="center"/>
          </w:tcPr>
          <w:p w14:paraId="66F1CC9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综合评分法</w:t>
            </w:r>
          </w:p>
        </w:tc>
      </w:tr>
      <w:tr w14:paraId="168F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Merge w:val="restart"/>
            <w:vAlign w:val="center"/>
          </w:tcPr>
          <w:p w14:paraId="10F34036">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19.1</w:t>
            </w:r>
          </w:p>
        </w:tc>
        <w:tc>
          <w:tcPr>
            <w:tcW w:w="1363" w:type="dxa"/>
            <w:vMerge w:val="restart"/>
            <w:vAlign w:val="center"/>
          </w:tcPr>
          <w:p w14:paraId="56DB99ED">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确定成交候选供应商和成交供应商</w:t>
            </w:r>
          </w:p>
        </w:tc>
        <w:tc>
          <w:tcPr>
            <w:tcW w:w="7156" w:type="dxa"/>
            <w:vAlign w:val="center"/>
          </w:tcPr>
          <w:p w14:paraId="74B954E3">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cs="宋体"/>
                <w:b w:val="0"/>
                <w:color w:val="auto"/>
                <w:sz w:val="24"/>
                <w:highlight w:val="none"/>
                <w:lang w:eastAsia="zh-CN"/>
              </w:rPr>
              <w:t>评审小组</w:t>
            </w:r>
            <w:r>
              <w:rPr>
                <w:rFonts w:hint="eastAsia" w:ascii="宋体" w:hAnsi="宋体" w:eastAsia="宋体" w:cs="宋体"/>
                <w:b w:val="0"/>
                <w:color w:val="auto"/>
                <w:sz w:val="24"/>
                <w:highlight w:val="none"/>
              </w:rPr>
              <w:t>推荐成交候选供应商的数量：3家</w:t>
            </w:r>
          </w:p>
          <w:p w14:paraId="35C06FAD">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u w:val="single"/>
                <w:lang w:eastAsia="zh-CN"/>
              </w:rPr>
            </w:pPr>
            <w:r>
              <w:rPr>
                <w:rFonts w:hint="eastAsia" w:ascii="宋体" w:hAnsi="宋体" w:eastAsia="宋体" w:cs="宋体"/>
                <w:b w:val="0"/>
                <w:color w:val="auto"/>
                <w:sz w:val="24"/>
                <w:highlight w:val="none"/>
              </w:rPr>
              <w:t>注：法律、法规另有规定的，从其规定</w:t>
            </w:r>
            <w:r>
              <w:rPr>
                <w:rFonts w:hint="eastAsia" w:ascii="宋体" w:hAnsi="宋体" w:eastAsia="宋体" w:cs="宋体"/>
                <w:b w:val="0"/>
                <w:color w:val="auto"/>
                <w:sz w:val="24"/>
                <w:highlight w:val="none"/>
                <w:lang w:eastAsia="zh-CN"/>
              </w:rPr>
              <w:t>。</w:t>
            </w:r>
          </w:p>
        </w:tc>
      </w:tr>
      <w:tr w14:paraId="32DE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Merge w:val="continue"/>
            <w:vAlign w:val="center"/>
          </w:tcPr>
          <w:p w14:paraId="685E2E8C">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p>
        </w:tc>
        <w:tc>
          <w:tcPr>
            <w:tcW w:w="1363" w:type="dxa"/>
            <w:vMerge w:val="continue"/>
            <w:vAlign w:val="center"/>
          </w:tcPr>
          <w:p w14:paraId="5E75928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p>
        </w:tc>
        <w:tc>
          <w:tcPr>
            <w:tcW w:w="7156" w:type="dxa"/>
            <w:vAlign w:val="center"/>
          </w:tcPr>
          <w:p w14:paraId="707174E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确定成交供应商：</w:t>
            </w:r>
          </w:p>
          <w:p w14:paraId="624AF3F8">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sym w:font="Wingdings" w:char="00FE"/>
            </w:r>
            <w:r>
              <w:rPr>
                <w:rFonts w:hint="eastAsia" w:ascii="宋体" w:hAnsi="宋体" w:cs="宋体"/>
                <w:b w:val="0"/>
                <w:color w:val="auto"/>
                <w:sz w:val="24"/>
                <w:highlight w:val="none"/>
                <w:lang w:eastAsia="zh-CN"/>
              </w:rPr>
              <w:t>发包人</w:t>
            </w:r>
            <w:r>
              <w:rPr>
                <w:rFonts w:hint="eastAsia" w:ascii="宋体" w:hAnsi="宋体" w:eastAsia="宋体" w:cs="宋体"/>
                <w:b w:val="0"/>
                <w:color w:val="auto"/>
                <w:sz w:val="24"/>
                <w:highlight w:val="none"/>
              </w:rPr>
              <w:t>委托</w:t>
            </w:r>
            <w:r>
              <w:rPr>
                <w:rFonts w:hint="eastAsia" w:ascii="宋体" w:hAnsi="宋体" w:cs="宋体"/>
                <w:b w:val="0"/>
                <w:color w:val="auto"/>
                <w:sz w:val="24"/>
                <w:highlight w:val="none"/>
                <w:lang w:eastAsia="zh-CN"/>
              </w:rPr>
              <w:t>评审小组</w:t>
            </w:r>
            <w:r>
              <w:rPr>
                <w:rFonts w:hint="eastAsia" w:ascii="宋体" w:hAnsi="宋体" w:eastAsia="宋体" w:cs="宋体"/>
                <w:b w:val="0"/>
                <w:color w:val="auto"/>
                <w:sz w:val="24"/>
                <w:highlight w:val="none"/>
              </w:rPr>
              <w:t>确定</w:t>
            </w:r>
          </w:p>
          <w:p w14:paraId="685AFAD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r>
              <w:rPr>
                <w:rFonts w:hint="eastAsia" w:ascii="宋体" w:hAnsi="宋体" w:cs="宋体"/>
                <w:b w:val="0"/>
                <w:color w:val="auto"/>
                <w:sz w:val="24"/>
                <w:highlight w:val="none"/>
                <w:lang w:eastAsia="zh-CN"/>
              </w:rPr>
              <w:t>发包人</w:t>
            </w:r>
            <w:r>
              <w:rPr>
                <w:rFonts w:hint="eastAsia" w:ascii="宋体" w:hAnsi="宋体" w:eastAsia="宋体" w:cs="宋体"/>
                <w:b w:val="0"/>
                <w:color w:val="auto"/>
                <w:sz w:val="24"/>
                <w:highlight w:val="none"/>
              </w:rPr>
              <w:t>确定</w:t>
            </w:r>
          </w:p>
        </w:tc>
      </w:tr>
      <w:tr w14:paraId="3848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1FEDC37A">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24.1</w:t>
            </w:r>
          </w:p>
        </w:tc>
        <w:tc>
          <w:tcPr>
            <w:tcW w:w="1363" w:type="dxa"/>
            <w:vAlign w:val="center"/>
          </w:tcPr>
          <w:p w14:paraId="6CD99E9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告知</w:t>
            </w:r>
            <w:r>
              <w:rPr>
                <w:rFonts w:hint="eastAsia" w:ascii="宋体" w:hAnsi="宋体" w:cs="宋体"/>
                <w:b w:val="0"/>
                <w:color w:val="auto"/>
                <w:sz w:val="24"/>
                <w:highlight w:val="none"/>
                <w:lang w:val="en-US" w:eastAsia="zh-CN"/>
              </w:rPr>
              <w:t>发包</w:t>
            </w:r>
            <w:r>
              <w:rPr>
                <w:rFonts w:hint="eastAsia" w:ascii="宋体" w:hAnsi="宋体" w:eastAsia="宋体" w:cs="宋体"/>
                <w:b w:val="0"/>
                <w:color w:val="auto"/>
                <w:sz w:val="24"/>
                <w:highlight w:val="none"/>
              </w:rPr>
              <w:t>结果的形式</w:t>
            </w:r>
          </w:p>
        </w:tc>
        <w:tc>
          <w:tcPr>
            <w:tcW w:w="7156" w:type="dxa"/>
            <w:vAlign w:val="center"/>
          </w:tcPr>
          <w:p w14:paraId="74BD2FCD">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cs="宋体"/>
                <w:b w:val="0"/>
                <w:color w:val="auto"/>
                <w:sz w:val="24"/>
                <w:highlight w:val="none"/>
                <w:lang w:val="en-US" w:eastAsia="zh-CN"/>
              </w:rPr>
              <w:t>发包</w:t>
            </w:r>
            <w:r>
              <w:rPr>
                <w:rFonts w:hint="eastAsia" w:ascii="宋体" w:hAnsi="宋体" w:eastAsia="宋体" w:cs="宋体"/>
                <w:b w:val="0"/>
                <w:color w:val="auto"/>
                <w:sz w:val="24"/>
                <w:highlight w:val="none"/>
              </w:rPr>
              <w:t>现场告知</w:t>
            </w:r>
          </w:p>
        </w:tc>
      </w:tr>
      <w:tr w14:paraId="1703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2424BE8C">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25.1</w:t>
            </w:r>
          </w:p>
        </w:tc>
        <w:tc>
          <w:tcPr>
            <w:tcW w:w="1363" w:type="dxa"/>
            <w:vAlign w:val="center"/>
          </w:tcPr>
          <w:p w14:paraId="5DD4DEC6">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履约保证金</w:t>
            </w:r>
          </w:p>
        </w:tc>
        <w:tc>
          <w:tcPr>
            <w:tcW w:w="7156" w:type="dxa"/>
            <w:vAlign w:val="center"/>
          </w:tcPr>
          <w:p w14:paraId="6D2EAC51">
            <w:pPr>
              <w:keepNext w:val="0"/>
              <w:keepLines w:val="0"/>
              <w:pageBreakBefore w:val="0"/>
              <w:numPr>
                <w:ilvl w:val="0"/>
                <w:numId w:val="1"/>
              </w:numPr>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成交供应商在签订合同时应向</w:t>
            </w:r>
            <w:r>
              <w:rPr>
                <w:rFonts w:hint="eastAsia" w:ascii="宋体" w:hAnsi="宋体" w:cs="宋体"/>
                <w:bCs/>
                <w:color w:val="auto"/>
                <w:kern w:val="0"/>
                <w:sz w:val="24"/>
                <w:szCs w:val="28"/>
                <w:highlight w:val="none"/>
                <w:lang w:eastAsia="zh-CN"/>
              </w:rPr>
              <w:t>发包人</w:t>
            </w:r>
            <w:r>
              <w:rPr>
                <w:rFonts w:hint="eastAsia" w:ascii="宋体" w:hAnsi="宋体" w:eastAsia="宋体" w:cs="宋体"/>
                <w:bCs/>
                <w:color w:val="auto"/>
                <w:kern w:val="0"/>
                <w:sz w:val="24"/>
                <w:szCs w:val="28"/>
                <w:highlight w:val="none"/>
              </w:rPr>
              <w:t>提交合同总价</w:t>
            </w:r>
            <w:r>
              <w:rPr>
                <w:rFonts w:hint="eastAsia" w:ascii="宋体" w:hAnsi="宋体" w:eastAsia="宋体" w:cs="宋体"/>
                <w:bCs/>
                <w:color w:val="auto"/>
                <w:kern w:val="0"/>
                <w:sz w:val="24"/>
                <w:szCs w:val="28"/>
                <w:highlight w:val="none"/>
                <w:u w:val="single"/>
              </w:rPr>
              <w:t xml:space="preserve"> </w:t>
            </w:r>
            <w:r>
              <w:rPr>
                <w:rFonts w:hint="eastAsia" w:ascii="宋体" w:hAnsi="宋体" w:cs="宋体"/>
                <w:bCs/>
                <w:color w:val="auto"/>
                <w:kern w:val="0"/>
                <w:sz w:val="24"/>
                <w:szCs w:val="28"/>
                <w:highlight w:val="none"/>
                <w:u w:val="single"/>
                <w:lang w:val="en-US" w:eastAsia="zh-CN"/>
              </w:rPr>
              <w:t>/</w:t>
            </w:r>
            <w:r>
              <w:rPr>
                <w:rFonts w:hint="eastAsia" w:ascii="宋体" w:hAnsi="宋体" w:eastAsia="宋体" w:cs="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rPr>
              <w:t>%的履约保证金。</w:t>
            </w:r>
          </w:p>
          <w:p w14:paraId="53027A31">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2、成交供应商可以通过转账、网银支付、汇票、支票、保证保险、担保保函、银行履约保函等方式提交履约保证金。</w:t>
            </w:r>
          </w:p>
          <w:p w14:paraId="29BDFFD9">
            <w:pPr>
              <w:pStyle w:val="8"/>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Cs/>
                <w:color w:val="auto"/>
                <w:kern w:val="0"/>
                <w:sz w:val="24"/>
                <w:szCs w:val="28"/>
                <w:highlight w:val="none"/>
                <w:lang w:val="en-US"/>
              </w:rPr>
            </w:pPr>
            <w:r>
              <w:rPr>
                <w:rFonts w:hint="eastAsia" w:ascii="宋体" w:hAnsi="宋体" w:eastAsia="宋体" w:cs="宋体"/>
                <w:bCs/>
                <w:color w:val="auto"/>
                <w:kern w:val="0"/>
                <w:sz w:val="24"/>
                <w:szCs w:val="28"/>
                <w:highlight w:val="none"/>
                <w:lang w:val="en-US"/>
              </w:rPr>
              <w:t>3、项目验收结束后</w:t>
            </w:r>
            <w:r>
              <w:rPr>
                <w:rFonts w:hint="eastAsia" w:ascii="宋体" w:hAnsi="宋体" w:eastAsia="宋体" w:cs="宋体"/>
                <w:bCs/>
                <w:color w:val="auto"/>
                <w:kern w:val="0"/>
                <w:sz w:val="24"/>
                <w:szCs w:val="28"/>
                <w:highlight w:val="none"/>
                <w:lang w:val="en-US" w:eastAsia="zh-CN"/>
              </w:rPr>
              <w:t>将</w:t>
            </w:r>
            <w:r>
              <w:rPr>
                <w:rFonts w:hint="eastAsia" w:ascii="宋体" w:hAnsi="宋体" w:eastAsia="宋体" w:cs="宋体"/>
                <w:bCs/>
                <w:color w:val="auto"/>
                <w:kern w:val="0"/>
                <w:sz w:val="24"/>
                <w:szCs w:val="28"/>
                <w:highlight w:val="none"/>
                <w:lang w:val="en-US"/>
              </w:rPr>
              <w:t>及时退还履约保证金。</w:t>
            </w:r>
          </w:p>
          <w:p w14:paraId="49EFEB5F">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
                <w:bCs w:val="0"/>
                <w:color w:val="auto"/>
                <w:kern w:val="0"/>
                <w:sz w:val="24"/>
                <w:szCs w:val="28"/>
                <w:highlight w:val="none"/>
              </w:rPr>
            </w:pPr>
            <w:r>
              <w:rPr>
                <w:rFonts w:hint="eastAsia" w:ascii="宋体" w:hAnsi="宋体" w:eastAsia="宋体" w:cs="宋体"/>
                <w:b/>
                <w:bCs w:val="0"/>
                <w:color w:val="auto"/>
                <w:kern w:val="0"/>
                <w:sz w:val="24"/>
                <w:szCs w:val="28"/>
                <w:highlight w:val="none"/>
              </w:rPr>
              <w:t>注意事项：</w:t>
            </w:r>
          </w:p>
          <w:p w14:paraId="45940A3A">
            <w:pPr>
              <w:keepNext w:val="0"/>
              <w:keepLines w:val="0"/>
              <w:pageBreakBefore w:val="0"/>
              <w:kinsoku/>
              <w:wordWrap/>
              <w:overflowPunct/>
              <w:topLinePunct w:val="0"/>
              <w:autoSpaceDE/>
              <w:autoSpaceDN/>
              <w:bidi w:val="0"/>
              <w:adjustRightInd/>
              <w:snapToGrid/>
              <w:spacing w:beforeAutospacing="0" w:afterAutospacing="0" w:line="400" w:lineRule="exact"/>
              <w:rPr>
                <w:rFonts w:hint="eastAsia" w:ascii="宋体" w:hAnsi="宋体" w:eastAsia="宋体" w:cs="宋体"/>
                <w:b w:val="0"/>
                <w:bCs/>
                <w:color w:val="auto"/>
                <w:kern w:val="0"/>
                <w:sz w:val="24"/>
                <w:szCs w:val="28"/>
                <w:highlight w:val="none"/>
              </w:rPr>
            </w:pPr>
            <w:r>
              <w:rPr>
                <w:rFonts w:hint="eastAsia" w:ascii="宋体" w:hAnsi="宋体" w:eastAsia="宋体" w:cs="宋体"/>
                <w:b w:val="0"/>
                <w:bCs/>
                <w:color w:val="auto"/>
                <w:kern w:val="0"/>
                <w:sz w:val="24"/>
                <w:szCs w:val="28"/>
                <w:highlight w:val="none"/>
              </w:rPr>
              <w:t>（1）以上各类机构出具的以担保函、保证保险承担责任的方式均须满足无条件见索即付条件。</w:t>
            </w:r>
          </w:p>
          <w:p w14:paraId="673E0DF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color w:val="auto"/>
                <w:sz w:val="24"/>
                <w:highlight w:val="none"/>
              </w:rPr>
            </w:pPr>
            <w:r>
              <w:rPr>
                <w:rFonts w:hint="eastAsia" w:ascii="宋体" w:hAnsi="宋体" w:eastAsia="宋体" w:cs="宋体"/>
                <w:b w:val="0"/>
                <w:bCs/>
                <w:color w:val="auto"/>
                <w:sz w:val="24"/>
                <w:highlight w:val="none"/>
              </w:rPr>
              <w:t>（2）以担保函、保证保险形式缴纳履约保证金的，受益人和收取单位须为</w:t>
            </w:r>
            <w:r>
              <w:rPr>
                <w:rFonts w:hint="eastAsia" w:ascii="宋体" w:hAnsi="宋体" w:cs="宋体"/>
                <w:b w:val="0"/>
                <w:bCs/>
                <w:color w:val="auto"/>
                <w:sz w:val="24"/>
                <w:highlight w:val="none"/>
                <w:lang w:eastAsia="zh-CN"/>
              </w:rPr>
              <w:t>发包人</w:t>
            </w:r>
            <w:r>
              <w:rPr>
                <w:rFonts w:hint="eastAsia" w:ascii="宋体" w:hAnsi="宋体" w:eastAsia="宋体" w:cs="宋体"/>
                <w:b w:val="0"/>
                <w:bCs/>
                <w:color w:val="auto"/>
                <w:sz w:val="24"/>
                <w:highlight w:val="none"/>
              </w:rPr>
              <w:t>。</w:t>
            </w:r>
          </w:p>
        </w:tc>
      </w:tr>
      <w:tr w14:paraId="3F28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53D7417D">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26.1</w:t>
            </w:r>
          </w:p>
        </w:tc>
        <w:tc>
          <w:tcPr>
            <w:tcW w:w="1363" w:type="dxa"/>
            <w:vAlign w:val="center"/>
          </w:tcPr>
          <w:p w14:paraId="58DB9A3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代理服务费</w:t>
            </w:r>
          </w:p>
        </w:tc>
        <w:tc>
          <w:tcPr>
            <w:tcW w:w="7156" w:type="dxa"/>
            <w:shd w:val="clear" w:color="auto" w:fill="auto"/>
            <w:vAlign w:val="center"/>
          </w:tcPr>
          <w:p w14:paraId="3974BA30">
            <w:pPr>
              <w:spacing w:line="360" w:lineRule="auto"/>
              <w:jc w:val="left"/>
              <w:rPr>
                <w:rFonts w:hint="eastAsia" w:ascii="宋体" w:hAnsi="宋体" w:cs="宋体"/>
                <w:color w:val="000000"/>
                <w:sz w:val="24"/>
              </w:rPr>
            </w:pPr>
            <w:r>
              <w:rPr>
                <w:rFonts w:hint="eastAsia" w:ascii="宋体" w:hAnsi="宋体" w:cs="宋体"/>
                <w:b/>
                <w:bCs/>
                <w:color w:val="000000"/>
                <w:sz w:val="24"/>
              </w:rPr>
              <w:t>1、支付方</w:t>
            </w:r>
            <w:r>
              <w:rPr>
                <w:rFonts w:hint="eastAsia" w:ascii="宋体" w:hAnsi="宋体" w:cs="宋体"/>
                <w:color w:val="000000"/>
                <w:sz w:val="24"/>
              </w:rPr>
              <w:t>：□</w:t>
            </w:r>
            <w:r>
              <w:rPr>
                <w:rFonts w:hint="eastAsia" w:ascii="宋体" w:hAnsi="宋体" w:cs="宋体"/>
                <w:color w:val="000000"/>
                <w:sz w:val="24"/>
                <w:lang w:eastAsia="zh-CN"/>
              </w:rPr>
              <w:t>发包人</w:t>
            </w:r>
            <w:r>
              <w:rPr>
                <w:rFonts w:hint="eastAsia" w:ascii="宋体" w:hAnsi="宋体" w:cs="宋体"/>
                <w:color w:val="000000"/>
                <w:sz w:val="24"/>
              </w:rPr>
              <w:t xml:space="preserve">  ☑成交供应商</w:t>
            </w:r>
          </w:p>
          <w:p w14:paraId="78C1B272">
            <w:pPr>
              <w:spacing w:line="360" w:lineRule="auto"/>
              <w:jc w:val="left"/>
              <w:rPr>
                <w:rFonts w:hint="eastAsia" w:ascii="宋体" w:hAnsi="宋体" w:cs="宋体"/>
                <w:color w:val="000000"/>
                <w:sz w:val="24"/>
              </w:rPr>
            </w:pPr>
            <w:r>
              <w:rPr>
                <w:rFonts w:hint="eastAsia" w:ascii="宋体" w:hAnsi="宋体" w:cs="宋体"/>
                <w:b/>
                <w:bCs/>
                <w:color w:val="000000"/>
                <w:sz w:val="24"/>
              </w:rPr>
              <w:t>2、收费标准：</w:t>
            </w:r>
            <w:r>
              <w:rPr>
                <w:rFonts w:hint="eastAsia" w:ascii="宋体" w:hAnsi="宋体" w:eastAsia="宋体" w:cs="宋体"/>
                <w:b w:val="0"/>
                <w:bCs w:val="0"/>
                <w:color w:val="000000"/>
                <w:sz w:val="24"/>
                <w:szCs w:val="24"/>
                <w:lang w:val="en-US" w:eastAsia="zh-CN"/>
              </w:rPr>
              <w:t>代理服务费的收取采用差额定率累进计费方式，具体收费标准为下表计取，不足3000元按3000元计取（评审费据实收取）</w:t>
            </w:r>
            <w:r>
              <w:rPr>
                <w:rFonts w:hint="eastAsia" w:ascii="宋体" w:hAnsi="宋体" w:cs="宋体"/>
                <w:color w:val="000000"/>
                <w:sz w:val="24"/>
              </w:rPr>
              <w:t>：</w:t>
            </w:r>
          </w:p>
          <w:tbl>
            <w:tblPr>
              <w:tblStyle w:val="24"/>
              <w:tblW w:w="6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652"/>
              <w:gridCol w:w="1335"/>
              <w:gridCol w:w="1275"/>
              <w:gridCol w:w="1320"/>
            </w:tblGrid>
            <w:tr w14:paraId="7401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2652" w:type="dxa"/>
                  <w:noWrap/>
                  <w:vAlign w:val="center"/>
                </w:tcPr>
                <w:p w14:paraId="5A73467D">
                  <w:pPr>
                    <w:widowControl/>
                    <w:spacing w:line="360" w:lineRule="auto"/>
                    <w:jc w:val="left"/>
                    <w:textAlignment w:val="center"/>
                    <w:rPr>
                      <w:b/>
                      <w:bCs/>
                      <w:color w:val="000000"/>
                      <w:sz w:val="20"/>
                    </w:rPr>
                  </w:pPr>
                  <w:r>
                    <w:rPr>
                      <w:rFonts w:hint="eastAsia" w:ascii="Calibri" w:hAnsi="Calibri" w:cs="Calibri"/>
                      <w:b/>
                      <w:bCs/>
                      <w:color w:val="000000"/>
                      <w:kern w:val="0"/>
                      <w:sz w:val="22"/>
                      <w:szCs w:val="22"/>
                      <w:lang w:val="en-US" w:eastAsia="zh-CN" w:bidi="ar"/>
                    </w:rPr>
                    <w:t>成交</w:t>
                  </w:r>
                  <w:r>
                    <w:rPr>
                      <w:rFonts w:ascii="Calibri" w:hAnsi="Calibri" w:cs="Calibri"/>
                      <w:b/>
                      <w:bCs/>
                      <w:color w:val="000000"/>
                      <w:kern w:val="0"/>
                      <w:sz w:val="22"/>
                      <w:szCs w:val="22"/>
                      <w:lang w:bidi="ar"/>
                    </w:rPr>
                    <w:t>金额</w:t>
                  </w:r>
                  <w:r>
                    <w:rPr>
                      <w:rFonts w:hint="eastAsia" w:ascii="Calibri" w:hAnsi="Calibri" w:cs="Calibri"/>
                      <w:b/>
                      <w:bCs/>
                      <w:color w:val="000000"/>
                      <w:kern w:val="0"/>
                      <w:sz w:val="22"/>
                      <w:szCs w:val="22"/>
                      <w:lang w:bidi="ar"/>
                    </w:rPr>
                    <w:t>（万元）</w:t>
                  </w:r>
                </w:p>
              </w:tc>
              <w:tc>
                <w:tcPr>
                  <w:tcW w:w="1335" w:type="dxa"/>
                  <w:noWrap/>
                  <w:vAlign w:val="center"/>
                </w:tcPr>
                <w:p w14:paraId="28F2965C">
                  <w:pPr>
                    <w:widowControl/>
                    <w:spacing w:line="360" w:lineRule="auto"/>
                    <w:jc w:val="left"/>
                    <w:textAlignment w:val="center"/>
                    <w:rPr>
                      <w:b/>
                      <w:bCs/>
                      <w:color w:val="000000"/>
                      <w:sz w:val="20"/>
                    </w:rPr>
                  </w:pPr>
                  <w:r>
                    <w:rPr>
                      <w:rFonts w:ascii="Calibri" w:hAnsi="Calibri" w:cs="Calibri"/>
                      <w:b/>
                      <w:bCs/>
                      <w:color w:val="000000"/>
                      <w:kern w:val="0"/>
                      <w:sz w:val="22"/>
                      <w:szCs w:val="22"/>
                      <w:lang w:bidi="ar"/>
                    </w:rPr>
                    <w:t>货物</w:t>
                  </w:r>
                  <w:r>
                    <w:rPr>
                      <w:rFonts w:hint="eastAsia" w:ascii="Calibri" w:hAnsi="Calibri" w:cs="Calibri"/>
                      <w:b/>
                      <w:bCs/>
                      <w:color w:val="000000"/>
                      <w:kern w:val="0"/>
                      <w:sz w:val="22"/>
                      <w:szCs w:val="22"/>
                      <w:lang w:bidi="ar"/>
                    </w:rPr>
                    <w:t>类项目</w:t>
                  </w:r>
                </w:p>
              </w:tc>
              <w:tc>
                <w:tcPr>
                  <w:tcW w:w="1275" w:type="dxa"/>
                  <w:noWrap/>
                  <w:vAlign w:val="center"/>
                </w:tcPr>
                <w:p w14:paraId="4B42BE01">
                  <w:pPr>
                    <w:widowControl/>
                    <w:spacing w:line="360" w:lineRule="auto"/>
                    <w:jc w:val="left"/>
                    <w:textAlignment w:val="center"/>
                    <w:rPr>
                      <w:b/>
                      <w:bCs/>
                      <w:color w:val="000000"/>
                      <w:sz w:val="20"/>
                    </w:rPr>
                  </w:pPr>
                  <w:r>
                    <w:rPr>
                      <w:rFonts w:ascii="Calibri" w:hAnsi="Calibri" w:cs="Calibri"/>
                      <w:b/>
                      <w:bCs/>
                      <w:color w:val="000000"/>
                      <w:kern w:val="0"/>
                      <w:sz w:val="22"/>
                      <w:szCs w:val="22"/>
                      <w:lang w:bidi="ar"/>
                    </w:rPr>
                    <w:t>服务</w:t>
                  </w:r>
                  <w:r>
                    <w:rPr>
                      <w:rFonts w:hint="eastAsia" w:ascii="Calibri" w:hAnsi="Calibri" w:cs="Calibri"/>
                      <w:b/>
                      <w:bCs/>
                      <w:color w:val="000000"/>
                      <w:kern w:val="0"/>
                      <w:sz w:val="22"/>
                      <w:szCs w:val="22"/>
                      <w:lang w:bidi="ar"/>
                    </w:rPr>
                    <w:t>类项目</w:t>
                  </w:r>
                </w:p>
              </w:tc>
              <w:tc>
                <w:tcPr>
                  <w:tcW w:w="1320" w:type="dxa"/>
                  <w:noWrap/>
                  <w:vAlign w:val="center"/>
                </w:tcPr>
                <w:p w14:paraId="11C15960">
                  <w:pPr>
                    <w:widowControl/>
                    <w:spacing w:line="360" w:lineRule="auto"/>
                    <w:jc w:val="left"/>
                    <w:textAlignment w:val="center"/>
                    <w:rPr>
                      <w:b/>
                      <w:bCs/>
                      <w:color w:val="000000"/>
                      <w:sz w:val="20"/>
                    </w:rPr>
                  </w:pPr>
                  <w:r>
                    <w:rPr>
                      <w:rFonts w:ascii="Calibri" w:hAnsi="Calibri" w:cs="Calibri"/>
                      <w:b/>
                      <w:bCs/>
                      <w:color w:val="000000"/>
                      <w:kern w:val="0"/>
                      <w:sz w:val="22"/>
                      <w:szCs w:val="22"/>
                      <w:lang w:bidi="ar"/>
                    </w:rPr>
                    <w:t>工程</w:t>
                  </w:r>
                  <w:r>
                    <w:rPr>
                      <w:rFonts w:hint="eastAsia" w:ascii="Calibri" w:hAnsi="Calibri" w:cs="Calibri"/>
                      <w:b/>
                      <w:bCs/>
                      <w:color w:val="000000"/>
                      <w:kern w:val="0"/>
                      <w:sz w:val="22"/>
                      <w:szCs w:val="22"/>
                      <w:lang w:bidi="ar"/>
                    </w:rPr>
                    <w:t>类项目</w:t>
                  </w:r>
                </w:p>
              </w:tc>
            </w:tr>
            <w:tr w14:paraId="3A6B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ign w:val="center"/>
                </w:tcPr>
                <w:p w14:paraId="1B6D230E">
                  <w:pPr>
                    <w:widowControl/>
                    <w:spacing w:line="360" w:lineRule="auto"/>
                    <w:jc w:val="left"/>
                    <w:textAlignment w:val="center"/>
                    <w:rPr>
                      <w:color w:val="000000"/>
                      <w:sz w:val="20"/>
                    </w:rPr>
                  </w:pPr>
                  <w:r>
                    <w:rPr>
                      <w:rFonts w:ascii="Calibri" w:hAnsi="Calibri" w:cs="Calibri"/>
                      <w:color w:val="000000"/>
                      <w:kern w:val="0"/>
                      <w:sz w:val="22"/>
                      <w:szCs w:val="22"/>
                      <w:lang w:bidi="ar"/>
                    </w:rPr>
                    <w:t>100 以下</w:t>
                  </w:r>
                </w:p>
              </w:tc>
              <w:tc>
                <w:tcPr>
                  <w:tcW w:w="1335" w:type="dxa"/>
                  <w:noWrap/>
                  <w:vAlign w:val="center"/>
                </w:tcPr>
                <w:p w14:paraId="156F2F68">
                  <w:pPr>
                    <w:widowControl/>
                    <w:spacing w:line="360" w:lineRule="auto"/>
                    <w:jc w:val="left"/>
                    <w:textAlignment w:val="center"/>
                    <w:rPr>
                      <w:color w:val="000000"/>
                      <w:sz w:val="20"/>
                    </w:rPr>
                  </w:pPr>
                  <w:r>
                    <w:rPr>
                      <w:rFonts w:ascii="Calibri" w:hAnsi="Calibri" w:cs="Calibri"/>
                      <w:color w:val="000000"/>
                      <w:kern w:val="0"/>
                      <w:sz w:val="22"/>
                      <w:szCs w:val="22"/>
                      <w:lang w:bidi="ar"/>
                    </w:rPr>
                    <w:t>1.5%</w:t>
                  </w:r>
                </w:p>
              </w:tc>
              <w:tc>
                <w:tcPr>
                  <w:tcW w:w="1275" w:type="dxa"/>
                  <w:noWrap/>
                  <w:vAlign w:val="center"/>
                </w:tcPr>
                <w:p w14:paraId="2988ED44">
                  <w:pPr>
                    <w:widowControl/>
                    <w:spacing w:line="360" w:lineRule="auto"/>
                    <w:jc w:val="left"/>
                    <w:textAlignment w:val="center"/>
                    <w:rPr>
                      <w:color w:val="000000"/>
                      <w:sz w:val="20"/>
                    </w:rPr>
                  </w:pPr>
                  <w:r>
                    <w:rPr>
                      <w:rFonts w:ascii="Calibri" w:hAnsi="Calibri" w:cs="Calibri"/>
                      <w:color w:val="000000"/>
                      <w:kern w:val="0"/>
                      <w:sz w:val="22"/>
                      <w:szCs w:val="22"/>
                      <w:lang w:bidi="ar"/>
                    </w:rPr>
                    <w:t>1.5%</w:t>
                  </w:r>
                </w:p>
              </w:tc>
              <w:tc>
                <w:tcPr>
                  <w:tcW w:w="1320" w:type="dxa"/>
                  <w:noWrap/>
                  <w:vAlign w:val="center"/>
                </w:tcPr>
                <w:p w14:paraId="18577376">
                  <w:pPr>
                    <w:widowControl/>
                    <w:spacing w:line="360" w:lineRule="auto"/>
                    <w:jc w:val="left"/>
                    <w:textAlignment w:val="center"/>
                    <w:rPr>
                      <w:color w:val="000000"/>
                      <w:sz w:val="20"/>
                    </w:rPr>
                  </w:pPr>
                  <w:r>
                    <w:rPr>
                      <w:rFonts w:ascii="Calibri" w:hAnsi="Calibri" w:cs="Calibri"/>
                      <w:color w:val="000000"/>
                      <w:kern w:val="0"/>
                      <w:sz w:val="22"/>
                      <w:szCs w:val="22"/>
                      <w:lang w:bidi="ar"/>
                    </w:rPr>
                    <w:t>1.0%</w:t>
                  </w:r>
                </w:p>
              </w:tc>
            </w:tr>
            <w:tr w14:paraId="5A78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ign w:val="center"/>
                </w:tcPr>
                <w:p w14:paraId="2703CD6A">
                  <w:pPr>
                    <w:widowControl/>
                    <w:spacing w:line="360" w:lineRule="auto"/>
                    <w:jc w:val="left"/>
                    <w:textAlignment w:val="center"/>
                    <w:rPr>
                      <w:color w:val="000000"/>
                      <w:sz w:val="20"/>
                    </w:rPr>
                  </w:pPr>
                  <w:r>
                    <w:rPr>
                      <w:rFonts w:ascii="Calibri" w:hAnsi="Calibri" w:cs="Calibri"/>
                      <w:color w:val="000000"/>
                      <w:kern w:val="0"/>
                      <w:sz w:val="22"/>
                      <w:szCs w:val="22"/>
                      <w:lang w:bidi="ar"/>
                    </w:rPr>
                    <w:t>100-500</w:t>
                  </w:r>
                </w:p>
              </w:tc>
              <w:tc>
                <w:tcPr>
                  <w:tcW w:w="1335" w:type="dxa"/>
                  <w:noWrap/>
                  <w:vAlign w:val="center"/>
                </w:tcPr>
                <w:p w14:paraId="4AE6D3D9">
                  <w:pPr>
                    <w:widowControl/>
                    <w:spacing w:line="360" w:lineRule="auto"/>
                    <w:jc w:val="left"/>
                    <w:textAlignment w:val="center"/>
                    <w:rPr>
                      <w:color w:val="000000"/>
                      <w:sz w:val="20"/>
                    </w:rPr>
                  </w:pPr>
                  <w:r>
                    <w:rPr>
                      <w:rFonts w:ascii="Calibri" w:hAnsi="Calibri" w:cs="Calibri"/>
                      <w:color w:val="000000"/>
                      <w:kern w:val="0"/>
                      <w:sz w:val="22"/>
                      <w:szCs w:val="22"/>
                      <w:lang w:bidi="ar"/>
                    </w:rPr>
                    <w:t>1.1%</w:t>
                  </w:r>
                </w:p>
              </w:tc>
              <w:tc>
                <w:tcPr>
                  <w:tcW w:w="1275" w:type="dxa"/>
                  <w:noWrap/>
                  <w:vAlign w:val="center"/>
                </w:tcPr>
                <w:p w14:paraId="6F320D07">
                  <w:pPr>
                    <w:widowControl/>
                    <w:spacing w:line="360" w:lineRule="auto"/>
                    <w:jc w:val="left"/>
                    <w:textAlignment w:val="center"/>
                    <w:rPr>
                      <w:color w:val="000000"/>
                      <w:sz w:val="20"/>
                    </w:rPr>
                  </w:pPr>
                  <w:r>
                    <w:rPr>
                      <w:rFonts w:ascii="Calibri" w:hAnsi="Calibri" w:cs="Calibri"/>
                      <w:color w:val="000000"/>
                      <w:kern w:val="0"/>
                      <w:sz w:val="22"/>
                      <w:szCs w:val="22"/>
                      <w:lang w:bidi="ar"/>
                    </w:rPr>
                    <w:t>0.8%</w:t>
                  </w:r>
                </w:p>
              </w:tc>
              <w:tc>
                <w:tcPr>
                  <w:tcW w:w="1320" w:type="dxa"/>
                  <w:noWrap/>
                  <w:vAlign w:val="center"/>
                </w:tcPr>
                <w:p w14:paraId="1339CDAA">
                  <w:pPr>
                    <w:widowControl/>
                    <w:spacing w:line="360" w:lineRule="auto"/>
                    <w:jc w:val="left"/>
                    <w:textAlignment w:val="center"/>
                    <w:rPr>
                      <w:color w:val="000000"/>
                      <w:sz w:val="20"/>
                    </w:rPr>
                  </w:pPr>
                  <w:r>
                    <w:rPr>
                      <w:rFonts w:ascii="Calibri" w:hAnsi="Calibri" w:cs="Calibri"/>
                      <w:color w:val="000000"/>
                      <w:kern w:val="0"/>
                      <w:sz w:val="22"/>
                      <w:szCs w:val="22"/>
                      <w:lang w:bidi="ar"/>
                    </w:rPr>
                    <w:t>0.7%</w:t>
                  </w:r>
                </w:p>
              </w:tc>
            </w:tr>
            <w:tr w14:paraId="43B6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ign w:val="center"/>
                </w:tcPr>
                <w:p w14:paraId="1461AFA7">
                  <w:pPr>
                    <w:widowControl/>
                    <w:spacing w:line="360" w:lineRule="auto"/>
                    <w:jc w:val="left"/>
                    <w:textAlignment w:val="center"/>
                    <w:rPr>
                      <w:color w:val="000000"/>
                      <w:sz w:val="20"/>
                    </w:rPr>
                  </w:pPr>
                  <w:r>
                    <w:rPr>
                      <w:rFonts w:ascii="Calibri" w:hAnsi="Calibri" w:cs="Calibri"/>
                      <w:color w:val="000000"/>
                      <w:kern w:val="0"/>
                      <w:sz w:val="22"/>
                      <w:szCs w:val="22"/>
                      <w:lang w:bidi="ar"/>
                    </w:rPr>
                    <w:t>500-1000</w:t>
                  </w:r>
                </w:p>
              </w:tc>
              <w:tc>
                <w:tcPr>
                  <w:tcW w:w="1335" w:type="dxa"/>
                  <w:noWrap/>
                  <w:vAlign w:val="center"/>
                </w:tcPr>
                <w:p w14:paraId="5865B3FD">
                  <w:pPr>
                    <w:widowControl/>
                    <w:spacing w:line="360" w:lineRule="auto"/>
                    <w:jc w:val="left"/>
                    <w:textAlignment w:val="center"/>
                    <w:rPr>
                      <w:color w:val="000000"/>
                      <w:sz w:val="20"/>
                    </w:rPr>
                  </w:pPr>
                  <w:r>
                    <w:rPr>
                      <w:rFonts w:ascii="Calibri" w:hAnsi="Calibri" w:cs="Calibri"/>
                      <w:color w:val="000000"/>
                      <w:kern w:val="0"/>
                      <w:sz w:val="22"/>
                      <w:szCs w:val="22"/>
                      <w:lang w:bidi="ar"/>
                    </w:rPr>
                    <w:t>0.8%</w:t>
                  </w:r>
                </w:p>
              </w:tc>
              <w:tc>
                <w:tcPr>
                  <w:tcW w:w="1275" w:type="dxa"/>
                  <w:noWrap/>
                  <w:vAlign w:val="center"/>
                </w:tcPr>
                <w:p w14:paraId="78FB9A91">
                  <w:pPr>
                    <w:widowControl/>
                    <w:spacing w:line="360" w:lineRule="auto"/>
                    <w:jc w:val="left"/>
                    <w:textAlignment w:val="center"/>
                    <w:rPr>
                      <w:color w:val="000000"/>
                      <w:sz w:val="20"/>
                    </w:rPr>
                  </w:pPr>
                  <w:r>
                    <w:rPr>
                      <w:rFonts w:ascii="Calibri" w:hAnsi="Calibri" w:cs="Calibri"/>
                      <w:color w:val="000000"/>
                      <w:kern w:val="0"/>
                      <w:sz w:val="22"/>
                      <w:szCs w:val="22"/>
                      <w:lang w:bidi="ar"/>
                    </w:rPr>
                    <w:t>0.45%</w:t>
                  </w:r>
                </w:p>
              </w:tc>
              <w:tc>
                <w:tcPr>
                  <w:tcW w:w="1320" w:type="dxa"/>
                  <w:noWrap/>
                  <w:vAlign w:val="center"/>
                </w:tcPr>
                <w:p w14:paraId="435F5E17">
                  <w:pPr>
                    <w:widowControl/>
                    <w:spacing w:line="360" w:lineRule="auto"/>
                    <w:jc w:val="left"/>
                    <w:textAlignment w:val="center"/>
                    <w:rPr>
                      <w:color w:val="000000"/>
                      <w:sz w:val="20"/>
                    </w:rPr>
                  </w:pPr>
                  <w:r>
                    <w:rPr>
                      <w:rFonts w:ascii="Calibri" w:hAnsi="Calibri" w:cs="Calibri"/>
                      <w:color w:val="000000"/>
                      <w:kern w:val="0"/>
                      <w:sz w:val="22"/>
                      <w:szCs w:val="22"/>
                      <w:lang w:bidi="ar"/>
                    </w:rPr>
                    <w:t>0.55%</w:t>
                  </w:r>
                </w:p>
              </w:tc>
            </w:tr>
            <w:tr w14:paraId="0F3D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ign w:val="center"/>
                </w:tcPr>
                <w:p w14:paraId="4819A11F">
                  <w:pPr>
                    <w:widowControl/>
                    <w:spacing w:line="360" w:lineRule="auto"/>
                    <w:jc w:val="left"/>
                    <w:textAlignment w:val="center"/>
                    <w:rPr>
                      <w:color w:val="000000"/>
                      <w:sz w:val="20"/>
                    </w:rPr>
                  </w:pPr>
                  <w:r>
                    <w:rPr>
                      <w:rFonts w:ascii="Calibri" w:hAnsi="Calibri" w:cs="Calibri"/>
                      <w:color w:val="000000"/>
                      <w:kern w:val="0"/>
                      <w:sz w:val="22"/>
                      <w:szCs w:val="22"/>
                      <w:lang w:bidi="ar"/>
                    </w:rPr>
                    <w:t>1000-5000</w:t>
                  </w:r>
                </w:p>
              </w:tc>
              <w:tc>
                <w:tcPr>
                  <w:tcW w:w="1335" w:type="dxa"/>
                  <w:noWrap/>
                  <w:vAlign w:val="center"/>
                </w:tcPr>
                <w:p w14:paraId="175E662F">
                  <w:pPr>
                    <w:widowControl/>
                    <w:spacing w:line="360" w:lineRule="auto"/>
                    <w:jc w:val="left"/>
                    <w:textAlignment w:val="center"/>
                    <w:rPr>
                      <w:color w:val="000000"/>
                      <w:sz w:val="20"/>
                    </w:rPr>
                  </w:pPr>
                  <w:r>
                    <w:rPr>
                      <w:rFonts w:ascii="Calibri" w:hAnsi="Calibri" w:cs="Calibri"/>
                      <w:color w:val="000000"/>
                      <w:kern w:val="0"/>
                      <w:sz w:val="22"/>
                      <w:szCs w:val="22"/>
                      <w:lang w:bidi="ar"/>
                    </w:rPr>
                    <w:t>0.5%</w:t>
                  </w:r>
                </w:p>
              </w:tc>
              <w:tc>
                <w:tcPr>
                  <w:tcW w:w="1275" w:type="dxa"/>
                  <w:noWrap/>
                  <w:vAlign w:val="center"/>
                </w:tcPr>
                <w:p w14:paraId="48217313">
                  <w:pPr>
                    <w:widowControl/>
                    <w:spacing w:line="360" w:lineRule="auto"/>
                    <w:jc w:val="left"/>
                    <w:textAlignment w:val="center"/>
                    <w:rPr>
                      <w:color w:val="000000"/>
                      <w:sz w:val="20"/>
                    </w:rPr>
                  </w:pPr>
                  <w:r>
                    <w:rPr>
                      <w:rFonts w:ascii="Calibri" w:hAnsi="Calibri" w:cs="Calibri"/>
                      <w:color w:val="000000"/>
                      <w:kern w:val="0"/>
                      <w:sz w:val="22"/>
                      <w:szCs w:val="22"/>
                      <w:lang w:bidi="ar"/>
                    </w:rPr>
                    <w:t>0.25%</w:t>
                  </w:r>
                </w:p>
              </w:tc>
              <w:tc>
                <w:tcPr>
                  <w:tcW w:w="1320" w:type="dxa"/>
                  <w:noWrap/>
                  <w:vAlign w:val="center"/>
                </w:tcPr>
                <w:p w14:paraId="24D4621D">
                  <w:pPr>
                    <w:widowControl/>
                    <w:spacing w:line="360" w:lineRule="auto"/>
                    <w:jc w:val="left"/>
                    <w:textAlignment w:val="center"/>
                    <w:rPr>
                      <w:color w:val="000000"/>
                      <w:sz w:val="20"/>
                    </w:rPr>
                  </w:pPr>
                  <w:r>
                    <w:rPr>
                      <w:rFonts w:ascii="Calibri" w:hAnsi="Calibri" w:cs="Calibri"/>
                      <w:color w:val="000000"/>
                      <w:kern w:val="0"/>
                      <w:sz w:val="22"/>
                      <w:szCs w:val="22"/>
                      <w:lang w:bidi="ar"/>
                    </w:rPr>
                    <w:t>0.35%</w:t>
                  </w:r>
                </w:p>
              </w:tc>
            </w:tr>
            <w:tr w14:paraId="3882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ign w:val="center"/>
                </w:tcPr>
                <w:p w14:paraId="72FE2985">
                  <w:pPr>
                    <w:widowControl/>
                    <w:spacing w:line="360" w:lineRule="auto"/>
                    <w:jc w:val="left"/>
                    <w:textAlignment w:val="center"/>
                    <w:rPr>
                      <w:color w:val="000000"/>
                      <w:sz w:val="20"/>
                    </w:rPr>
                  </w:pPr>
                  <w:r>
                    <w:rPr>
                      <w:rFonts w:ascii="Calibri" w:hAnsi="Calibri" w:cs="Calibri"/>
                      <w:color w:val="000000"/>
                      <w:kern w:val="0"/>
                      <w:sz w:val="22"/>
                      <w:szCs w:val="22"/>
                      <w:lang w:bidi="ar"/>
                    </w:rPr>
                    <w:t>5000-10000</w:t>
                  </w:r>
                </w:p>
              </w:tc>
              <w:tc>
                <w:tcPr>
                  <w:tcW w:w="1335" w:type="dxa"/>
                  <w:noWrap/>
                  <w:vAlign w:val="center"/>
                </w:tcPr>
                <w:p w14:paraId="2A394498">
                  <w:pPr>
                    <w:widowControl/>
                    <w:spacing w:line="360" w:lineRule="auto"/>
                    <w:jc w:val="left"/>
                    <w:textAlignment w:val="center"/>
                    <w:rPr>
                      <w:color w:val="000000"/>
                      <w:sz w:val="20"/>
                    </w:rPr>
                  </w:pPr>
                  <w:r>
                    <w:rPr>
                      <w:rFonts w:ascii="Calibri" w:hAnsi="Calibri" w:cs="Calibri"/>
                      <w:color w:val="000000"/>
                      <w:kern w:val="0"/>
                      <w:sz w:val="22"/>
                      <w:szCs w:val="22"/>
                      <w:lang w:bidi="ar"/>
                    </w:rPr>
                    <w:t>0.25%</w:t>
                  </w:r>
                </w:p>
              </w:tc>
              <w:tc>
                <w:tcPr>
                  <w:tcW w:w="1275" w:type="dxa"/>
                  <w:noWrap/>
                  <w:vAlign w:val="center"/>
                </w:tcPr>
                <w:p w14:paraId="721D86BF">
                  <w:pPr>
                    <w:widowControl/>
                    <w:spacing w:line="360" w:lineRule="auto"/>
                    <w:jc w:val="left"/>
                    <w:textAlignment w:val="center"/>
                    <w:rPr>
                      <w:color w:val="000000"/>
                      <w:sz w:val="20"/>
                    </w:rPr>
                  </w:pPr>
                  <w:r>
                    <w:rPr>
                      <w:rFonts w:ascii="Calibri" w:hAnsi="Calibri" w:cs="Calibri"/>
                      <w:color w:val="000000"/>
                      <w:kern w:val="0"/>
                      <w:sz w:val="22"/>
                      <w:szCs w:val="22"/>
                      <w:lang w:bidi="ar"/>
                    </w:rPr>
                    <w:t>0.1%</w:t>
                  </w:r>
                </w:p>
              </w:tc>
              <w:tc>
                <w:tcPr>
                  <w:tcW w:w="1320" w:type="dxa"/>
                  <w:noWrap/>
                  <w:vAlign w:val="center"/>
                </w:tcPr>
                <w:p w14:paraId="52A34DC9">
                  <w:pPr>
                    <w:widowControl/>
                    <w:spacing w:line="360" w:lineRule="auto"/>
                    <w:jc w:val="left"/>
                    <w:textAlignment w:val="center"/>
                    <w:rPr>
                      <w:color w:val="000000"/>
                      <w:sz w:val="20"/>
                    </w:rPr>
                  </w:pPr>
                  <w:r>
                    <w:rPr>
                      <w:rFonts w:ascii="Calibri" w:hAnsi="Calibri" w:cs="Calibri"/>
                      <w:color w:val="000000"/>
                      <w:kern w:val="0"/>
                      <w:sz w:val="22"/>
                      <w:szCs w:val="22"/>
                      <w:lang w:bidi="ar"/>
                    </w:rPr>
                    <w:t>0.2%</w:t>
                  </w:r>
                </w:p>
              </w:tc>
            </w:tr>
            <w:tr w14:paraId="26B2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ign w:val="center"/>
                </w:tcPr>
                <w:p w14:paraId="6A0A59F2">
                  <w:pPr>
                    <w:widowControl/>
                    <w:spacing w:line="360" w:lineRule="auto"/>
                    <w:jc w:val="left"/>
                    <w:textAlignment w:val="center"/>
                    <w:rPr>
                      <w:color w:val="000000"/>
                      <w:sz w:val="20"/>
                    </w:rPr>
                  </w:pPr>
                  <w:r>
                    <w:rPr>
                      <w:rFonts w:ascii="Calibri" w:hAnsi="Calibri" w:cs="Calibri"/>
                      <w:color w:val="000000"/>
                      <w:kern w:val="0"/>
                      <w:sz w:val="22"/>
                      <w:szCs w:val="22"/>
                      <w:lang w:bidi="ar"/>
                    </w:rPr>
                    <w:t>10000-100000</w:t>
                  </w:r>
                </w:p>
              </w:tc>
              <w:tc>
                <w:tcPr>
                  <w:tcW w:w="1335" w:type="dxa"/>
                  <w:noWrap/>
                  <w:vAlign w:val="center"/>
                </w:tcPr>
                <w:p w14:paraId="1F097EFE">
                  <w:pPr>
                    <w:widowControl/>
                    <w:spacing w:line="360" w:lineRule="auto"/>
                    <w:jc w:val="left"/>
                    <w:textAlignment w:val="center"/>
                    <w:rPr>
                      <w:color w:val="000000"/>
                      <w:sz w:val="20"/>
                    </w:rPr>
                  </w:pPr>
                  <w:r>
                    <w:rPr>
                      <w:rFonts w:ascii="Calibri" w:hAnsi="Calibri" w:cs="Calibri"/>
                      <w:color w:val="000000"/>
                      <w:kern w:val="0"/>
                      <w:sz w:val="22"/>
                      <w:szCs w:val="22"/>
                      <w:lang w:bidi="ar"/>
                    </w:rPr>
                    <w:t>0.05%</w:t>
                  </w:r>
                </w:p>
              </w:tc>
              <w:tc>
                <w:tcPr>
                  <w:tcW w:w="1275" w:type="dxa"/>
                  <w:noWrap/>
                  <w:vAlign w:val="center"/>
                </w:tcPr>
                <w:p w14:paraId="33E1B5B9">
                  <w:pPr>
                    <w:widowControl/>
                    <w:spacing w:line="360" w:lineRule="auto"/>
                    <w:jc w:val="left"/>
                    <w:textAlignment w:val="center"/>
                    <w:rPr>
                      <w:color w:val="000000"/>
                      <w:sz w:val="20"/>
                    </w:rPr>
                  </w:pPr>
                  <w:r>
                    <w:rPr>
                      <w:rFonts w:ascii="Calibri" w:hAnsi="Calibri" w:cs="Calibri"/>
                      <w:color w:val="000000"/>
                      <w:kern w:val="0"/>
                      <w:sz w:val="22"/>
                      <w:szCs w:val="22"/>
                      <w:lang w:bidi="ar"/>
                    </w:rPr>
                    <w:t>0.05%</w:t>
                  </w:r>
                </w:p>
              </w:tc>
              <w:tc>
                <w:tcPr>
                  <w:tcW w:w="1320" w:type="dxa"/>
                  <w:noWrap/>
                  <w:vAlign w:val="center"/>
                </w:tcPr>
                <w:p w14:paraId="54F71225">
                  <w:pPr>
                    <w:widowControl/>
                    <w:spacing w:line="360" w:lineRule="auto"/>
                    <w:jc w:val="left"/>
                    <w:textAlignment w:val="center"/>
                    <w:rPr>
                      <w:color w:val="000000"/>
                      <w:sz w:val="20"/>
                    </w:rPr>
                  </w:pPr>
                  <w:r>
                    <w:rPr>
                      <w:rFonts w:ascii="Calibri" w:hAnsi="Calibri" w:cs="Calibri"/>
                      <w:color w:val="000000"/>
                      <w:kern w:val="0"/>
                      <w:sz w:val="22"/>
                      <w:szCs w:val="22"/>
                      <w:lang w:bidi="ar"/>
                    </w:rPr>
                    <w:t>0.05%</w:t>
                  </w:r>
                </w:p>
              </w:tc>
            </w:tr>
            <w:tr w14:paraId="7789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ign w:val="center"/>
                </w:tcPr>
                <w:p w14:paraId="2E36FA8A">
                  <w:pPr>
                    <w:widowControl/>
                    <w:spacing w:line="360" w:lineRule="auto"/>
                    <w:jc w:val="left"/>
                    <w:textAlignment w:val="center"/>
                    <w:rPr>
                      <w:color w:val="000000"/>
                      <w:sz w:val="20"/>
                    </w:rPr>
                  </w:pPr>
                  <w:r>
                    <w:rPr>
                      <w:rFonts w:ascii="Calibri" w:hAnsi="Calibri" w:cs="Calibri"/>
                      <w:color w:val="000000"/>
                      <w:kern w:val="0"/>
                      <w:sz w:val="22"/>
                      <w:szCs w:val="22"/>
                      <w:lang w:bidi="ar"/>
                    </w:rPr>
                    <w:t>100000 以上</w:t>
                  </w:r>
                </w:p>
              </w:tc>
              <w:tc>
                <w:tcPr>
                  <w:tcW w:w="1335" w:type="dxa"/>
                  <w:noWrap/>
                  <w:vAlign w:val="center"/>
                </w:tcPr>
                <w:p w14:paraId="79708213">
                  <w:pPr>
                    <w:widowControl/>
                    <w:spacing w:line="360" w:lineRule="auto"/>
                    <w:jc w:val="left"/>
                    <w:textAlignment w:val="center"/>
                    <w:rPr>
                      <w:color w:val="000000"/>
                      <w:sz w:val="20"/>
                    </w:rPr>
                  </w:pPr>
                  <w:r>
                    <w:rPr>
                      <w:rFonts w:ascii="Calibri" w:hAnsi="Calibri" w:cs="Calibri"/>
                      <w:color w:val="000000"/>
                      <w:kern w:val="0"/>
                      <w:sz w:val="22"/>
                      <w:szCs w:val="22"/>
                      <w:lang w:bidi="ar"/>
                    </w:rPr>
                    <w:t>0.01%</w:t>
                  </w:r>
                </w:p>
              </w:tc>
              <w:tc>
                <w:tcPr>
                  <w:tcW w:w="1275" w:type="dxa"/>
                  <w:noWrap/>
                  <w:vAlign w:val="center"/>
                </w:tcPr>
                <w:p w14:paraId="480999C6">
                  <w:pPr>
                    <w:widowControl/>
                    <w:spacing w:line="360" w:lineRule="auto"/>
                    <w:jc w:val="left"/>
                    <w:textAlignment w:val="center"/>
                    <w:rPr>
                      <w:color w:val="000000"/>
                      <w:sz w:val="20"/>
                    </w:rPr>
                  </w:pPr>
                  <w:r>
                    <w:rPr>
                      <w:rFonts w:ascii="Calibri" w:hAnsi="Calibri" w:cs="Calibri"/>
                      <w:color w:val="000000"/>
                      <w:kern w:val="0"/>
                      <w:sz w:val="22"/>
                      <w:szCs w:val="22"/>
                      <w:lang w:bidi="ar"/>
                    </w:rPr>
                    <w:t>0.01%</w:t>
                  </w:r>
                </w:p>
              </w:tc>
              <w:tc>
                <w:tcPr>
                  <w:tcW w:w="1320" w:type="dxa"/>
                  <w:noWrap/>
                  <w:vAlign w:val="center"/>
                </w:tcPr>
                <w:p w14:paraId="0DAE9A5B">
                  <w:pPr>
                    <w:widowControl/>
                    <w:spacing w:line="360" w:lineRule="auto"/>
                    <w:jc w:val="left"/>
                    <w:textAlignment w:val="center"/>
                    <w:rPr>
                      <w:color w:val="000000"/>
                      <w:sz w:val="20"/>
                    </w:rPr>
                  </w:pPr>
                  <w:r>
                    <w:rPr>
                      <w:rFonts w:ascii="Calibri" w:hAnsi="Calibri" w:cs="Calibri"/>
                      <w:color w:val="000000"/>
                      <w:kern w:val="0"/>
                      <w:sz w:val="22"/>
                      <w:szCs w:val="22"/>
                      <w:lang w:bidi="ar"/>
                    </w:rPr>
                    <w:t>0.01%</w:t>
                  </w:r>
                </w:p>
              </w:tc>
            </w:tr>
          </w:tbl>
          <w:p w14:paraId="4131A680">
            <w:pPr>
              <w:spacing w:line="360" w:lineRule="auto"/>
              <w:jc w:val="left"/>
              <w:rPr>
                <w:rFonts w:hint="eastAsia" w:ascii="宋体" w:hAnsi="宋体" w:cs="宋体"/>
                <w:color w:val="000000"/>
                <w:sz w:val="24"/>
              </w:rPr>
            </w:pPr>
            <w:r>
              <w:rPr>
                <w:rFonts w:hint="eastAsia" w:ascii="宋体" w:hAnsi="宋体" w:cs="宋体"/>
                <w:color w:val="000000"/>
                <w:sz w:val="24"/>
              </w:rPr>
              <w:t>注：代理服务费按差额定率累进法计算。</w:t>
            </w:r>
          </w:p>
          <w:p w14:paraId="2DC27CED">
            <w:pPr>
              <w:spacing w:line="360" w:lineRule="auto"/>
              <w:jc w:val="left"/>
              <w:rPr>
                <w:rFonts w:hint="eastAsia" w:ascii="宋体" w:hAnsi="宋体" w:cs="宋体"/>
                <w:color w:val="000000"/>
                <w:sz w:val="24"/>
              </w:rPr>
            </w:pPr>
            <w:r>
              <w:rPr>
                <w:rFonts w:hint="eastAsia" w:ascii="宋体" w:hAnsi="宋体" w:cs="宋体"/>
                <w:color w:val="000000"/>
                <w:sz w:val="24"/>
              </w:rPr>
              <w:t>例如：某服务类项目代理业务</w:t>
            </w:r>
            <w:r>
              <w:rPr>
                <w:rFonts w:hint="eastAsia" w:ascii="宋体" w:hAnsi="宋体" w:cs="宋体"/>
                <w:color w:val="000000"/>
                <w:sz w:val="24"/>
                <w:lang w:val="en-US" w:eastAsia="zh-CN"/>
              </w:rPr>
              <w:t>中标</w:t>
            </w:r>
            <w:r>
              <w:rPr>
                <w:rFonts w:hint="eastAsia" w:ascii="宋体" w:hAnsi="宋体" w:cs="宋体"/>
                <w:color w:val="000000"/>
                <w:sz w:val="24"/>
              </w:rPr>
              <w:t>金额为6000万元，计算代理服务费如下：100 万元×1.5％＝1.5万元</w:t>
            </w:r>
          </w:p>
          <w:p w14:paraId="2FE71E9E">
            <w:pPr>
              <w:spacing w:line="360" w:lineRule="auto"/>
              <w:jc w:val="left"/>
              <w:rPr>
                <w:rFonts w:hint="eastAsia" w:ascii="宋体" w:hAnsi="宋体" w:cs="宋体"/>
                <w:color w:val="000000"/>
                <w:sz w:val="24"/>
              </w:rPr>
            </w:pPr>
            <w:r>
              <w:rPr>
                <w:rFonts w:hint="eastAsia" w:ascii="宋体" w:hAnsi="宋体" w:cs="宋体"/>
                <w:color w:val="000000"/>
                <w:sz w:val="24"/>
              </w:rPr>
              <w:t>（500－100）万元×0.8％＝3.2万元</w:t>
            </w:r>
          </w:p>
          <w:p w14:paraId="058BF778">
            <w:pPr>
              <w:spacing w:line="360" w:lineRule="auto"/>
              <w:jc w:val="left"/>
              <w:rPr>
                <w:rFonts w:hint="eastAsia" w:ascii="宋体" w:hAnsi="宋体" w:cs="宋体"/>
                <w:color w:val="000000"/>
                <w:sz w:val="24"/>
              </w:rPr>
            </w:pPr>
            <w:r>
              <w:rPr>
                <w:rFonts w:hint="eastAsia" w:ascii="宋体" w:hAnsi="宋体" w:cs="宋体"/>
                <w:color w:val="000000"/>
                <w:sz w:val="24"/>
              </w:rPr>
              <w:t>（1000－500）万元×0.45％＝2.25 万元</w:t>
            </w:r>
          </w:p>
          <w:p w14:paraId="09EAC7E9">
            <w:pPr>
              <w:spacing w:line="360" w:lineRule="auto"/>
              <w:jc w:val="left"/>
              <w:rPr>
                <w:rFonts w:hint="eastAsia" w:ascii="宋体" w:hAnsi="宋体" w:cs="宋体"/>
                <w:color w:val="000000"/>
                <w:sz w:val="24"/>
              </w:rPr>
            </w:pPr>
            <w:r>
              <w:rPr>
                <w:rFonts w:hint="eastAsia" w:ascii="宋体" w:hAnsi="宋体" w:cs="宋体"/>
                <w:color w:val="000000"/>
                <w:sz w:val="24"/>
              </w:rPr>
              <w:t>（5000－1000）万元×0.25％＝10万元</w:t>
            </w:r>
          </w:p>
          <w:p w14:paraId="619DF3E3">
            <w:pPr>
              <w:spacing w:line="360" w:lineRule="auto"/>
              <w:jc w:val="left"/>
              <w:rPr>
                <w:rFonts w:hint="eastAsia" w:ascii="宋体" w:hAnsi="宋体" w:cs="宋体"/>
                <w:color w:val="000000"/>
                <w:sz w:val="24"/>
              </w:rPr>
            </w:pPr>
            <w:r>
              <w:rPr>
                <w:rFonts w:hint="eastAsia" w:ascii="宋体" w:hAnsi="宋体" w:cs="宋体"/>
                <w:color w:val="000000"/>
                <w:sz w:val="24"/>
              </w:rPr>
              <w:t>（6000－5000）万元×0.1％＝1万元</w:t>
            </w:r>
          </w:p>
          <w:p w14:paraId="07842FF7">
            <w:pPr>
              <w:spacing w:line="360" w:lineRule="auto"/>
              <w:jc w:val="left"/>
              <w:rPr>
                <w:rFonts w:hint="eastAsia" w:ascii="宋体" w:hAnsi="宋体" w:cs="宋体"/>
                <w:color w:val="000000"/>
                <w:sz w:val="24"/>
              </w:rPr>
            </w:pPr>
            <w:r>
              <w:rPr>
                <w:rFonts w:hint="eastAsia" w:ascii="宋体" w:hAnsi="宋体" w:cs="宋体"/>
                <w:color w:val="000000"/>
                <w:sz w:val="24"/>
              </w:rPr>
              <w:t>合计收费＝1.5＋3.2＋2.25＋10＋1＝17.95(万元)</w:t>
            </w:r>
          </w:p>
          <w:p w14:paraId="7E21F6BB">
            <w:pPr>
              <w:spacing w:line="360" w:lineRule="auto"/>
              <w:jc w:val="left"/>
              <w:rPr>
                <w:rFonts w:hint="eastAsia" w:ascii="宋体" w:hAnsi="宋体" w:cs="宋体"/>
                <w:color w:val="000000"/>
                <w:sz w:val="24"/>
              </w:rPr>
            </w:pPr>
            <w:r>
              <w:rPr>
                <w:rFonts w:hint="eastAsia" w:ascii="宋体" w:hAnsi="宋体" w:cs="宋体"/>
                <w:b/>
                <w:bCs/>
                <w:color w:val="000000"/>
                <w:sz w:val="24"/>
              </w:rPr>
              <w:t>3、收取方式：</w:t>
            </w:r>
            <w:r>
              <w:rPr>
                <w:rFonts w:hint="eastAsia" w:ascii="宋体" w:hAnsi="宋体" w:cs="宋体"/>
                <w:color w:val="000000"/>
                <w:sz w:val="24"/>
              </w:rPr>
              <w:t>银行转账。</w:t>
            </w:r>
          </w:p>
          <w:p w14:paraId="760564AD">
            <w:pPr>
              <w:spacing w:line="360" w:lineRule="auto"/>
              <w:jc w:val="left"/>
              <w:rPr>
                <w:rFonts w:hint="eastAsia" w:ascii="宋体" w:hAnsi="宋体" w:cs="宋体"/>
                <w:b/>
                <w:bCs/>
                <w:color w:val="000000"/>
                <w:sz w:val="24"/>
              </w:rPr>
            </w:pPr>
            <w:r>
              <w:rPr>
                <w:rFonts w:hint="eastAsia" w:ascii="宋体" w:hAnsi="宋体" w:cs="宋体"/>
                <w:b/>
                <w:bCs/>
                <w:color w:val="000000"/>
                <w:sz w:val="24"/>
              </w:rPr>
              <w:t>4、代理服务费缴纳账户：</w:t>
            </w:r>
          </w:p>
          <w:p w14:paraId="0995BAE6">
            <w:pPr>
              <w:spacing w:line="360" w:lineRule="auto"/>
              <w:jc w:val="left"/>
              <w:rPr>
                <w:rFonts w:hint="eastAsia" w:ascii="宋体" w:hAnsi="宋体" w:cs="宋体"/>
                <w:color w:val="000000"/>
                <w:sz w:val="24"/>
              </w:rPr>
            </w:pPr>
            <w:r>
              <w:rPr>
                <w:rFonts w:hint="eastAsia" w:ascii="宋体" w:hAnsi="宋体" w:cs="宋体"/>
                <w:color w:val="000000"/>
                <w:sz w:val="24"/>
              </w:rPr>
              <w:t xml:space="preserve">户名：安徽省六投项目管理有限公司 </w:t>
            </w:r>
          </w:p>
          <w:p w14:paraId="6741EA97">
            <w:pPr>
              <w:spacing w:line="360" w:lineRule="auto"/>
              <w:jc w:val="left"/>
              <w:rPr>
                <w:rFonts w:hint="eastAsia" w:ascii="宋体" w:hAnsi="宋体" w:cs="宋体"/>
                <w:color w:val="000000"/>
                <w:sz w:val="24"/>
              </w:rPr>
            </w:pPr>
            <w:r>
              <w:rPr>
                <w:rFonts w:hint="eastAsia" w:ascii="宋体" w:hAnsi="宋体" w:cs="宋体"/>
                <w:color w:val="000000"/>
                <w:sz w:val="24"/>
              </w:rPr>
              <w:t>开户行：中信银行股份有限公司六安分行营业部</w:t>
            </w:r>
          </w:p>
          <w:p w14:paraId="36388EF4">
            <w:pPr>
              <w:spacing w:line="360" w:lineRule="auto"/>
              <w:jc w:val="left"/>
              <w:rPr>
                <w:rFonts w:hint="eastAsia" w:ascii="宋体" w:hAnsi="宋体" w:cs="宋体"/>
                <w:color w:val="000000"/>
                <w:sz w:val="24"/>
              </w:rPr>
            </w:pPr>
            <w:r>
              <w:rPr>
                <w:rFonts w:hint="eastAsia" w:ascii="宋体" w:hAnsi="宋体" w:cs="宋体"/>
                <w:color w:val="000000"/>
                <w:sz w:val="24"/>
              </w:rPr>
              <w:t>账号：8112301011800940412</w:t>
            </w:r>
          </w:p>
          <w:p w14:paraId="7A49F123">
            <w:pPr>
              <w:pStyle w:val="46"/>
              <w:pBdr>
                <w:bottom w:val="none" w:color="auto" w:sz="0" w:space="0"/>
              </w:pBdr>
              <w:tabs>
                <w:tab w:val="clear" w:pos="4153"/>
                <w:tab w:val="clear" w:pos="8306"/>
              </w:tabs>
              <w:adjustRightInd/>
              <w:spacing w:line="360" w:lineRule="auto"/>
              <w:jc w:val="left"/>
              <w:textAlignment w:val="auto"/>
              <w:rPr>
                <w:rFonts w:hint="eastAsia" w:ascii="宋体" w:hAnsi="宋体" w:eastAsia="宋体" w:cs="Times New Roman"/>
                <w:color w:val="000000"/>
                <w:kern w:val="2"/>
                <w:sz w:val="24"/>
                <w:szCs w:val="24"/>
                <w:lang w:val="en-US" w:eastAsia="zh-CN" w:bidi="ar-SA"/>
              </w:rPr>
            </w:pPr>
            <w:r>
              <w:rPr>
                <w:rFonts w:hint="eastAsia" w:ascii="宋体" w:hAnsi="宋体" w:cs="宋体"/>
                <w:b/>
                <w:bCs/>
                <w:color w:val="000000"/>
                <w:lang w:val="en-US"/>
              </w:rPr>
              <w:t>5、代理服务费详见中标结果公告；</w:t>
            </w:r>
            <w:r>
              <w:rPr>
                <w:rFonts w:hint="eastAsia" w:ascii="宋体" w:hAnsi="宋体" w:eastAsia="宋体" w:cs="宋体"/>
                <w:color w:val="000000"/>
                <w:kern w:val="2"/>
                <w:sz w:val="24"/>
                <w:szCs w:val="20"/>
                <w:lang w:val="en-US" w:eastAsia="zh-CN" w:bidi="ar-SA"/>
              </w:rPr>
              <w:t>代理服务费须从成交供应商账户转出，并备注项目名称。</w:t>
            </w:r>
          </w:p>
        </w:tc>
      </w:tr>
      <w:tr w14:paraId="728E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03AD4C14">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27.1</w:t>
            </w:r>
          </w:p>
        </w:tc>
        <w:tc>
          <w:tcPr>
            <w:tcW w:w="1363" w:type="dxa"/>
            <w:vAlign w:val="center"/>
          </w:tcPr>
          <w:p w14:paraId="614B08AD">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签订合同</w:t>
            </w: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lang w:val="en-US" w:eastAsia="zh-CN"/>
              </w:rPr>
              <w:t>验收</w:t>
            </w:r>
          </w:p>
        </w:tc>
        <w:tc>
          <w:tcPr>
            <w:tcW w:w="7156" w:type="dxa"/>
            <w:vAlign w:val="center"/>
          </w:tcPr>
          <w:p w14:paraId="3767DE76">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（1）</w:t>
            </w:r>
            <w:r>
              <w:rPr>
                <w:rFonts w:hint="eastAsia" w:ascii="宋体" w:hAnsi="宋体" w:cs="宋体"/>
                <w:b w:val="0"/>
                <w:bCs/>
                <w:color w:val="auto"/>
                <w:sz w:val="24"/>
                <w:highlight w:val="none"/>
                <w:lang w:eastAsia="zh-CN"/>
              </w:rPr>
              <w:t>发包人</w:t>
            </w:r>
            <w:r>
              <w:rPr>
                <w:rFonts w:hint="eastAsia" w:ascii="宋体" w:hAnsi="宋体" w:eastAsia="宋体" w:cs="宋体"/>
                <w:b w:val="0"/>
                <w:bCs/>
                <w:color w:val="auto"/>
                <w:sz w:val="24"/>
                <w:highlight w:val="none"/>
              </w:rPr>
              <w:t>应尽量缩短采购合同签订时间，不得晚于中标（成交）通知书发放之日起 7 个工作日。无正当理由不得拒绝或者拖延签订合同，因供应商自身原因导致无法及时签订的除外。</w:t>
            </w:r>
            <w:r>
              <w:rPr>
                <w:rFonts w:hint="eastAsia" w:ascii="宋体" w:hAnsi="宋体" w:cs="宋体"/>
                <w:b w:val="0"/>
                <w:bCs/>
                <w:color w:val="auto"/>
                <w:sz w:val="24"/>
                <w:highlight w:val="none"/>
                <w:lang w:eastAsia="zh-CN"/>
              </w:rPr>
              <w:t>发包文件</w:t>
            </w:r>
            <w:r>
              <w:rPr>
                <w:rFonts w:hint="eastAsia" w:ascii="宋体" w:hAnsi="宋体" w:eastAsia="宋体" w:cs="宋体"/>
                <w:b w:val="0"/>
                <w:bCs/>
                <w:color w:val="auto"/>
                <w:sz w:val="24"/>
                <w:highlight w:val="none"/>
              </w:rPr>
              <w:t>、成交供应商的响应文件及澄清文件等，均作为合同的附件。</w:t>
            </w:r>
          </w:p>
          <w:p w14:paraId="33941F80">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w:t>
            </w:r>
            <w:r>
              <w:rPr>
                <w:rFonts w:hint="eastAsia" w:ascii="宋体" w:hAnsi="宋体" w:cs="宋体"/>
                <w:b w:val="0"/>
                <w:bCs/>
                <w:color w:val="auto"/>
                <w:sz w:val="24"/>
                <w:szCs w:val="24"/>
                <w:highlight w:val="none"/>
                <w:lang w:eastAsia="zh-CN"/>
              </w:rPr>
              <w:t>发包人</w:t>
            </w:r>
            <w:r>
              <w:rPr>
                <w:rFonts w:hint="eastAsia" w:ascii="宋体" w:hAnsi="宋体" w:eastAsia="宋体" w:cs="宋体"/>
                <w:b w:val="0"/>
                <w:bCs/>
                <w:color w:val="auto"/>
                <w:sz w:val="24"/>
                <w:szCs w:val="24"/>
                <w:highlight w:val="none"/>
              </w:rPr>
              <w:t>应当在项目完成且收到供应商验收申请后 5 个工作日内组织开展履约验收。</w:t>
            </w:r>
          </w:p>
          <w:p w14:paraId="54660B0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eastAsia="zh-CN"/>
              </w:rPr>
              <w:t>发包人</w:t>
            </w:r>
            <w:r>
              <w:rPr>
                <w:rFonts w:hint="eastAsia" w:ascii="宋体" w:hAnsi="宋体" w:eastAsia="宋体" w:cs="宋体"/>
                <w:b w:val="0"/>
                <w:bCs/>
                <w:color w:val="auto"/>
                <w:sz w:val="24"/>
                <w:szCs w:val="24"/>
                <w:highlight w:val="none"/>
              </w:rPr>
              <w:t>验收时，应成立三人以上验收小组，明确责任，严格依照</w:t>
            </w:r>
            <w:r>
              <w:rPr>
                <w:rFonts w:hint="eastAsia" w:ascii="宋体" w:hAnsi="宋体" w:cs="宋体"/>
                <w:b w:val="0"/>
                <w:bCs/>
                <w:color w:val="auto"/>
                <w:sz w:val="24"/>
                <w:szCs w:val="24"/>
                <w:highlight w:val="none"/>
                <w:lang w:eastAsia="zh-CN"/>
              </w:rPr>
              <w:t>发包文件</w:t>
            </w:r>
            <w:r>
              <w:rPr>
                <w:rFonts w:hint="eastAsia" w:ascii="宋体" w:hAnsi="宋体" w:eastAsia="宋体" w:cs="宋体"/>
                <w:b w:val="0"/>
                <w:bCs/>
                <w:color w:val="auto"/>
                <w:sz w:val="24"/>
                <w:szCs w:val="24"/>
                <w:highlight w:val="none"/>
              </w:rPr>
              <w:t>、成交通知书、采购合同及相关验收规范进行核对、验收，形成验收结论，并出具书面验收报告。</w:t>
            </w:r>
          </w:p>
          <w:p w14:paraId="4D2B70D2">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）涉及安全、消防、环保等其他需要由质检或行业主管部门进行验收的项目，必须邀请相关部门或相关专家参与验收。</w:t>
            </w:r>
          </w:p>
          <w:p w14:paraId="512936F7">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因政策变化等原因不能签订合同，造成企业合法利益受损的情形，</w:t>
            </w:r>
            <w:r>
              <w:rPr>
                <w:rFonts w:hint="eastAsia" w:ascii="宋体" w:hAnsi="宋体" w:cs="宋体"/>
                <w:b w:val="0"/>
                <w:bCs/>
                <w:color w:val="auto"/>
                <w:sz w:val="24"/>
                <w:szCs w:val="24"/>
                <w:highlight w:val="none"/>
                <w:lang w:eastAsia="zh-CN"/>
              </w:rPr>
              <w:t>发包人</w:t>
            </w:r>
            <w:r>
              <w:rPr>
                <w:rFonts w:hint="eastAsia" w:ascii="宋体" w:hAnsi="宋体" w:eastAsia="宋体" w:cs="宋体"/>
                <w:b w:val="0"/>
                <w:bCs/>
                <w:color w:val="auto"/>
                <w:sz w:val="24"/>
                <w:szCs w:val="24"/>
                <w:highlight w:val="none"/>
                <w:lang w:eastAsia="zh-CN"/>
              </w:rPr>
              <w:t>可以与供应商</w:t>
            </w:r>
            <w:r>
              <w:rPr>
                <w:rFonts w:hint="eastAsia" w:ascii="宋体" w:hAnsi="宋体" w:eastAsia="宋体" w:cs="宋体"/>
                <w:b w:val="0"/>
                <w:bCs/>
                <w:color w:val="auto"/>
                <w:sz w:val="24"/>
                <w:szCs w:val="24"/>
                <w:highlight w:val="none"/>
                <w:lang w:val="en-US" w:eastAsia="zh-CN"/>
              </w:rPr>
              <w:t>双方自行</w:t>
            </w:r>
            <w:r>
              <w:rPr>
                <w:rFonts w:hint="eastAsia" w:ascii="宋体" w:hAnsi="宋体" w:eastAsia="宋体" w:cs="宋体"/>
                <w:b w:val="0"/>
                <w:bCs/>
                <w:color w:val="auto"/>
                <w:sz w:val="24"/>
                <w:szCs w:val="24"/>
                <w:highlight w:val="none"/>
                <w:lang w:eastAsia="zh-CN"/>
              </w:rPr>
              <w:t>协商，给予合理补偿。</w:t>
            </w:r>
          </w:p>
        </w:tc>
      </w:tr>
      <w:tr w14:paraId="3CF6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6BDDB6B9">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29.3</w:t>
            </w:r>
          </w:p>
        </w:tc>
        <w:tc>
          <w:tcPr>
            <w:tcW w:w="1363" w:type="dxa"/>
            <w:vAlign w:val="center"/>
          </w:tcPr>
          <w:p w14:paraId="73B29DBA">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质疑函递交方式</w:t>
            </w:r>
          </w:p>
        </w:tc>
        <w:tc>
          <w:tcPr>
            <w:tcW w:w="7156" w:type="dxa"/>
            <w:vAlign w:val="center"/>
          </w:tcPr>
          <w:p w14:paraId="1EB2C24E">
            <w:pPr>
              <w:pStyle w:val="45"/>
              <w:keepNext w:val="0"/>
              <w:keepLines w:val="0"/>
              <w:pageBreakBefore w:val="0"/>
              <w:kinsoku/>
              <w:wordWrap/>
              <w:overflowPunct/>
              <w:topLinePunct w:val="0"/>
              <w:autoSpaceDE/>
              <w:autoSpaceDN/>
              <w:bidi w:val="0"/>
              <w:adjustRightInd/>
              <w:snapToGrid/>
              <w:spacing w:beforeAutospacing="0" w:afterAutospacing="0" w:line="400" w:lineRule="exact"/>
              <w:jc w:val="left"/>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1、供应商若对</w:t>
            </w:r>
            <w:r>
              <w:rPr>
                <w:rFonts w:hint="eastAsia" w:ascii="宋体" w:hAnsi="宋体" w:cs="宋体"/>
                <w:b w:val="0"/>
                <w:color w:val="auto"/>
                <w:sz w:val="24"/>
                <w:highlight w:val="none"/>
                <w:lang w:eastAsia="zh-CN"/>
              </w:rPr>
              <w:t>发包文件</w:t>
            </w:r>
            <w:r>
              <w:rPr>
                <w:rFonts w:hint="eastAsia" w:ascii="宋体" w:hAnsi="宋体" w:eastAsia="宋体" w:cs="宋体"/>
                <w:b w:val="0"/>
                <w:color w:val="auto"/>
                <w:sz w:val="24"/>
                <w:highlight w:val="none"/>
              </w:rPr>
              <w:t>有关内容存在质疑，可在法定质疑时限内以书面形式在工作时间向</w:t>
            </w:r>
            <w:r>
              <w:rPr>
                <w:rFonts w:hint="eastAsia" w:ascii="宋体" w:hAnsi="宋体" w:cs="宋体"/>
                <w:b w:val="0"/>
                <w:color w:val="auto"/>
                <w:sz w:val="24"/>
                <w:highlight w:val="none"/>
                <w:lang w:eastAsia="zh-CN"/>
              </w:rPr>
              <w:t>发包人</w:t>
            </w:r>
            <w:r>
              <w:rPr>
                <w:rFonts w:hint="eastAsia" w:ascii="宋体" w:hAnsi="宋体" w:eastAsia="宋体" w:cs="宋体"/>
                <w:b w:val="0"/>
                <w:color w:val="auto"/>
                <w:sz w:val="24"/>
                <w:highlight w:val="none"/>
              </w:rPr>
              <w:t>、</w:t>
            </w:r>
            <w:r>
              <w:rPr>
                <w:rFonts w:hint="eastAsia" w:ascii="宋体" w:hAnsi="宋体" w:cs="宋体"/>
                <w:b w:val="0"/>
                <w:color w:val="auto"/>
                <w:sz w:val="24"/>
                <w:highlight w:val="none"/>
                <w:lang w:eastAsia="zh-CN"/>
              </w:rPr>
              <w:t>代理机构</w:t>
            </w:r>
            <w:r>
              <w:rPr>
                <w:rFonts w:hint="eastAsia" w:ascii="宋体" w:hAnsi="宋体" w:eastAsia="宋体" w:cs="宋体"/>
                <w:b w:val="0"/>
                <w:color w:val="auto"/>
                <w:sz w:val="24"/>
                <w:highlight w:val="none"/>
              </w:rPr>
              <w:t>提出质疑。质疑文件须</w:t>
            </w:r>
            <w:r>
              <w:rPr>
                <w:rFonts w:hint="eastAsia" w:ascii="宋体" w:hAnsi="宋体" w:eastAsia="宋体" w:cs="宋体"/>
                <w:b w:val="0"/>
                <w:color w:val="auto"/>
                <w:sz w:val="24"/>
                <w:highlight w:val="none"/>
                <w:lang w:val="en-US" w:eastAsia="zh-CN"/>
              </w:rPr>
              <w:t>参照</w:t>
            </w:r>
            <w:r>
              <w:rPr>
                <w:rFonts w:hint="eastAsia" w:ascii="宋体" w:hAnsi="宋体" w:eastAsia="宋体" w:cs="宋体"/>
                <w:b w:val="0"/>
                <w:color w:val="auto"/>
                <w:sz w:val="24"/>
                <w:highlight w:val="none"/>
              </w:rPr>
              <w:t>《政府采购质疑和投诉办法》（财政部令第94号）规定的要求制作《质疑函》，质疑文件不可匿名。</w:t>
            </w:r>
          </w:p>
          <w:p w14:paraId="5A374E9A">
            <w:pPr>
              <w:pStyle w:val="45"/>
              <w:keepNext w:val="0"/>
              <w:keepLines w:val="0"/>
              <w:pageBreakBefore w:val="0"/>
              <w:kinsoku/>
              <w:wordWrap/>
              <w:overflowPunct/>
              <w:topLinePunct w:val="0"/>
              <w:autoSpaceDE/>
              <w:autoSpaceDN/>
              <w:bidi w:val="0"/>
              <w:adjustRightInd/>
              <w:snapToGrid/>
              <w:spacing w:beforeAutospacing="0" w:afterAutospacing="0" w:line="400" w:lineRule="exact"/>
              <w:jc w:val="left"/>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2、</w:t>
            </w:r>
            <w:r>
              <w:rPr>
                <w:rFonts w:hint="eastAsia" w:ascii="宋体" w:hAnsi="宋体" w:cs="宋体"/>
                <w:b w:val="0"/>
                <w:color w:val="auto"/>
                <w:sz w:val="24"/>
                <w:highlight w:val="none"/>
                <w:lang w:eastAsia="zh-CN"/>
              </w:rPr>
              <w:t>发包人</w:t>
            </w:r>
            <w:r>
              <w:rPr>
                <w:rFonts w:hint="eastAsia" w:ascii="宋体" w:hAnsi="宋体" w:eastAsia="宋体" w:cs="宋体"/>
                <w:b w:val="0"/>
                <w:color w:val="auto"/>
                <w:sz w:val="24"/>
                <w:highlight w:val="none"/>
              </w:rPr>
              <w:t>（</w:t>
            </w:r>
            <w:r>
              <w:rPr>
                <w:rFonts w:hint="eastAsia" w:ascii="宋体" w:hAnsi="宋体" w:cs="宋体"/>
                <w:b w:val="0"/>
                <w:color w:val="auto"/>
                <w:sz w:val="24"/>
                <w:highlight w:val="none"/>
                <w:lang w:eastAsia="zh-CN"/>
              </w:rPr>
              <w:t>代理机构</w:t>
            </w:r>
            <w:r>
              <w:rPr>
                <w:rFonts w:hint="eastAsia" w:ascii="宋体" w:hAnsi="宋体" w:eastAsia="宋体" w:cs="宋体"/>
                <w:b w:val="0"/>
                <w:color w:val="auto"/>
                <w:sz w:val="24"/>
                <w:highlight w:val="none"/>
              </w:rPr>
              <w:t>）将于收到质疑文件后七个工作日内</w:t>
            </w:r>
            <w:r>
              <w:rPr>
                <w:rFonts w:hint="eastAsia" w:ascii="宋体" w:hAnsi="宋体" w:eastAsia="宋体" w:cs="宋体"/>
                <w:b w:val="0"/>
                <w:color w:val="auto"/>
                <w:sz w:val="24"/>
                <w:highlight w:val="none"/>
                <w:lang w:val="en-US" w:eastAsia="zh-CN"/>
              </w:rPr>
              <w:t>作出</w:t>
            </w:r>
            <w:r>
              <w:rPr>
                <w:rFonts w:hint="eastAsia" w:ascii="宋体" w:hAnsi="宋体" w:eastAsia="宋体" w:cs="宋体"/>
                <w:b w:val="0"/>
                <w:color w:val="auto"/>
                <w:sz w:val="24"/>
                <w:highlight w:val="none"/>
              </w:rPr>
              <w:t>答复</w:t>
            </w:r>
            <w:r>
              <w:rPr>
                <w:rFonts w:hint="eastAsia" w:ascii="宋体" w:hAnsi="宋体" w:eastAsia="宋体" w:cs="宋体"/>
                <w:b w:val="0"/>
                <w:color w:val="auto"/>
                <w:sz w:val="24"/>
                <w:highlight w:val="none"/>
                <w:lang w:eastAsia="zh-CN"/>
              </w:rPr>
              <w:t>。</w:t>
            </w:r>
          </w:p>
          <w:p w14:paraId="179785E4">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3、请各潜在供应商在响应截止时间前，务必登录</w:t>
            </w:r>
            <w:r>
              <w:rPr>
                <w:rFonts w:hint="eastAsia" w:ascii="宋体" w:hAnsi="宋体" w:eastAsia="宋体" w:cs="宋体"/>
                <w:b w:val="0"/>
                <w:color w:val="auto"/>
                <w:sz w:val="24"/>
                <w:highlight w:val="none"/>
                <w:lang w:val="en-US" w:eastAsia="zh-CN"/>
              </w:rPr>
              <w:t>网站</w:t>
            </w:r>
            <w:r>
              <w:rPr>
                <w:rFonts w:hint="eastAsia" w:ascii="宋体" w:hAnsi="宋体" w:eastAsia="宋体" w:cs="宋体"/>
                <w:b w:val="0"/>
                <w:color w:val="auto"/>
                <w:sz w:val="24"/>
                <w:highlight w:val="none"/>
              </w:rPr>
              <w:t>查看是否发布有关项目更正公告。更正公告为</w:t>
            </w:r>
            <w:r>
              <w:rPr>
                <w:rFonts w:hint="eastAsia" w:ascii="宋体" w:hAnsi="宋体" w:cs="宋体"/>
                <w:b w:val="0"/>
                <w:color w:val="auto"/>
                <w:sz w:val="24"/>
                <w:highlight w:val="none"/>
                <w:lang w:eastAsia="zh-CN"/>
              </w:rPr>
              <w:t>发包文件</w:t>
            </w:r>
            <w:r>
              <w:rPr>
                <w:rFonts w:hint="eastAsia" w:ascii="宋体" w:hAnsi="宋体" w:eastAsia="宋体" w:cs="宋体"/>
                <w:b w:val="0"/>
                <w:color w:val="auto"/>
                <w:sz w:val="24"/>
                <w:highlight w:val="none"/>
              </w:rPr>
              <w:t>的有效组成部分，一经发布即为视同已通知所有潜在供应商，若因未及时关注而造成的一切后果，由供应商自行承担。</w:t>
            </w:r>
          </w:p>
        </w:tc>
      </w:tr>
      <w:tr w14:paraId="03FA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04D12247">
            <w:pPr>
              <w:pStyle w:val="46"/>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30</w:t>
            </w:r>
          </w:p>
        </w:tc>
        <w:tc>
          <w:tcPr>
            <w:tcW w:w="1363" w:type="dxa"/>
            <w:vAlign w:val="center"/>
          </w:tcPr>
          <w:p w14:paraId="396722E5">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其他内容</w:t>
            </w:r>
          </w:p>
        </w:tc>
        <w:tc>
          <w:tcPr>
            <w:tcW w:w="7156" w:type="dxa"/>
            <w:vAlign w:val="center"/>
          </w:tcPr>
          <w:p w14:paraId="1C1F09ED">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1.解释权</w:t>
            </w:r>
          </w:p>
          <w:p w14:paraId="0D66EA84">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（1）构成本</w:t>
            </w:r>
            <w:r>
              <w:rPr>
                <w:rFonts w:hint="eastAsia" w:ascii="宋体" w:hAnsi="宋体" w:cs="宋体"/>
                <w:bCs/>
                <w:color w:val="auto"/>
                <w:sz w:val="24"/>
                <w:szCs w:val="24"/>
                <w:highlight w:val="none"/>
                <w:lang w:eastAsia="zh-CN"/>
              </w:rPr>
              <w:t>发包文件</w:t>
            </w:r>
            <w:r>
              <w:rPr>
                <w:rFonts w:hint="eastAsia" w:ascii="宋体" w:hAnsi="宋体" w:eastAsia="宋体" w:cs="宋体"/>
                <w:bCs/>
                <w:color w:val="auto"/>
                <w:sz w:val="24"/>
                <w:szCs w:val="24"/>
                <w:highlight w:val="none"/>
              </w:rPr>
              <w:t>的各个组成文件应互为解释，互为说明；</w:t>
            </w:r>
          </w:p>
          <w:p w14:paraId="521F9FD0">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（2）同一组成文件中就同一事项的规定或约定不一致的，以编排顺序在后者为准；</w:t>
            </w:r>
          </w:p>
          <w:p w14:paraId="0FA6FF28">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（3）如有不明确或不一致，构成合同文件组成内容的，以合同文件约定内容为准，且以专用合同条款约定的合同文件优先顺序解释；</w:t>
            </w:r>
          </w:p>
          <w:p w14:paraId="65651B5B">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（4）除</w:t>
            </w:r>
            <w:r>
              <w:rPr>
                <w:rFonts w:hint="eastAsia" w:ascii="宋体" w:hAnsi="宋体" w:cs="宋体"/>
                <w:bCs/>
                <w:color w:val="auto"/>
                <w:sz w:val="24"/>
                <w:szCs w:val="24"/>
                <w:highlight w:val="none"/>
                <w:lang w:eastAsia="zh-CN"/>
              </w:rPr>
              <w:t>发包文件</w:t>
            </w:r>
            <w:r>
              <w:rPr>
                <w:rFonts w:hint="eastAsia" w:ascii="宋体" w:hAnsi="宋体" w:eastAsia="宋体" w:cs="宋体"/>
                <w:bCs/>
                <w:color w:val="auto"/>
                <w:sz w:val="24"/>
                <w:szCs w:val="24"/>
                <w:highlight w:val="none"/>
              </w:rPr>
              <w:t>中有特别规定外，仅适用于响应文件提交阶段的规定，按</w:t>
            </w:r>
            <w:r>
              <w:rPr>
                <w:rFonts w:hint="eastAsia" w:ascii="宋体" w:hAnsi="宋体" w:eastAsia="宋体" w:cs="宋体"/>
                <w:bCs/>
                <w:color w:val="auto"/>
                <w:sz w:val="24"/>
                <w:szCs w:val="24"/>
                <w:highlight w:val="none"/>
                <w:lang w:eastAsia="zh-CN"/>
              </w:rPr>
              <w:t>采购邀请</w:t>
            </w:r>
            <w:r>
              <w:rPr>
                <w:rFonts w:hint="eastAsia" w:ascii="宋体" w:hAnsi="宋体" w:eastAsia="宋体" w:cs="宋体"/>
                <w:bCs/>
                <w:color w:val="auto"/>
                <w:sz w:val="24"/>
                <w:szCs w:val="24"/>
                <w:highlight w:val="none"/>
              </w:rPr>
              <w:t>、供应商须知、评审方法和标准、响应文件格式的先后顺序解释；</w:t>
            </w:r>
          </w:p>
          <w:p w14:paraId="5EA5227E">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（5）按本款前述规定仍不能形成结论的，由</w:t>
            </w:r>
            <w:r>
              <w:rPr>
                <w:rFonts w:hint="eastAsia" w:ascii="宋体" w:hAnsi="宋体" w:cs="宋体"/>
                <w:bCs/>
                <w:color w:val="auto"/>
                <w:sz w:val="24"/>
                <w:szCs w:val="24"/>
                <w:highlight w:val="none"/>
                <w:lang w:eastAsia="zh-CN"/>
              </w:rPr>
              <w:t>发包人</w:t>
            </w:r>
            <w:r>
              <w:rPr>
                <w:rFonts w:hint="eastAsia" w:ascii="宋体" w:hAnsi="宋体" w:eastAsia="宋体" w:cs="宋体"/>
                <w:bCs/>
                <w:color w:val="auto"/>
                <w:sz w:val="24"/>
                <w:szCs w:val="24"/>
                <w:highlight w:val="none"/>
              </w:rPr>
              <w:t>负责解释。</w:t>
            </w:r>
          </w:p>
          <w:p w14:paraId="588F8BBE">
            <w:pPr>
              <w:pStyle w:val="4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w:t>
            </w:r>
            <w:r>
              <w:rPr>
                <w:rFonts w:hint="eastAsia" w:ascii="宋体" w:hAnsi="宋体" w:cs="宋体"/>
                <w:b w:val="0"/>
                <w:bCs/>
                <w:color w:val="auto"/>
                <w:sz w:val="24"/>
                <w:szCs w:val="24"/>
                <w:highlight w:val="none"/>
                <w:u w:val="none"/>
                <w:lang w:val="en-US" w:eastAsia="zh-CN"/>
              </w:rPr>
              <w:t>发包文件</w:t>
            </w:r>
            <w:r>
              <w:rPr>
                <w:rFonts w:hint="eastAsia" w:ascii="宋体" w:hAnsi="宋体" w:eastAsia="宋体" w:cs="宋体"/>
                <w:b w:val="0"/>
                <w:bCs/>
                <w:color w:val="auto"/>
                <w:sz w:val="24"/>
                <w:szCs w:val="24"/>
                <w:highlight w:val="none"/>
                <w:u w:val="none"/>
                <w:lang w:val="en-US" w:eastAsia="zh-CN"/>
              </w:rPr>
              <w:t>中，按日计算期间的，开始当天不计入，从次日开始计算。期限的最后一日是国家法定节假日的，顺延到节假日后的次日为期限的最后一日。</w:t>
            </w:r>
          </w:p>
          <w:p w14:paraId="52F8FCFB">
            <w:pPr>
              <w:pStyle w:val="4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Cs/>
                <w:color w:val="auto"/>
                <w:sz w:val="24"/>
                <w:szCs w:val="24"/>
                <w:highlight w:val="none"/>
              </w:rPr>
            </w:pPr>
            <w:r>
              <w:rPr>
                <w:rFonts w:hint="eastAsia" w:ascii="宋体" w:hAnsi="宋体" w:eastAsia="宋体" w:cs="宋体"/>
                <w:b w:val="0"/>
                <w:bCs/>
                <w:color w:val="auto"/>
                <w:sz w:val="24"/>
                <w:szCs w:val="24"/>
                <w:highlight w:val="none"/>
                <w:u w:val="none"/>
                <w:lang w:val="en-US" w:eastAsia="zh-CN"/>
              </w:rPr>
              <w:t>3、</w:t>
            </w:r>
            <w:r>
              <w:rPr>
                <w:rFonts w:hint="eastAsia" w:ascii="宋体" w:hAnsi="宋体" w:cs="宋体"/>
                <w:b w:val="0"/>
                <w:bCs/>
                <w:color w:val="auto"/>
                <w:sz w:val="24"/>
                <w:szCs w:val="24"/>
                <w:highlight w:val="none"/>
                <w:u w:val="none"/>
                <w:lang w:val="en-US" w:eastAsia="zh-CN"/>
              </w:rPr>
              <w:t>发包文件</w:t>
            </w:r>
            <w:r>
              <w:rPr>
                <w:rFonts w:hint="eastAsia" w:ascii="宋体" w:hAnsi="宋体" w:eastAsia="宋体" w:cs="宋体"/>
                <w:b w:val="0"/>
                <w:bCs/>
                <w:color w:val="auto"/>
                <w:sz w:val="24"/>
                <w:szCs w:val="24"/>
                <w:highlight w:val="none"/>
                <w:u w:val="none"/>
                <w:lang w:val="en-US" w:eastAsia="zh-CN"/>
              </w:rPr>
              <w:t>中，所称的“以上”、“以下”、“内”、“以内”，包括本数；所称的“不足”，不包括本数。</w:t>
            </w:r>
            <w:r>
              <w:rPr>
                <w:rFonts w:hint="eastAsia" w:ascii="宋体" w:hAnsi="宋体" w:eastAsia="宋体" w:cs="宋体"/>
                <w:b w:val="0"/>
                <w:bCs w:val="0"/>
                <w:i/>
                <w:iCs/>
                <w:color w:val="auto"/>
                <w:kern w:val="2"/>
                <w:sz w:val="24"/>
                <w:szCs w:val="24"/>
                <w:highlight w:val="none"/>
                <w:u w:val="none"/>
                <w:lang w:val="en-US" w:eastAsia="zh-CN" w:bidi="ar-SA"/>
              </w:rPr>
              <w:t xml:space="preserve"> </w:t>
            </w:r>
          </w:p>
        </w:tc>
      </w:tr>
    </w:tbl>
    <w:p w14:paraId="3060387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color w:val="auto"/>
          <w:sz w:val="24"/>
          <w:highlight w:val="none"/>
        </w:rPr>
      </w:pPr>
      <w:r>
        <w:rPr>
          <w:rFonts w:hint="eastAsia" w:ascii="宋体" w:hAnsi="宋体" w:eastAsia="宋体" w:cs="宋体"/>
          <w:b/>
          <w:color w:val="auto"/>
          <w:sz w:val="28"/>
          <w:highlight w:val="none"/>
        </w:rPr>
        <w:br w:type="page"/>
      </w:r>
      <w:bookmarkStart w:id="64" w:name="_Toc26212"/>
      <w:bookmarkStart w:id="65" w:name="_Toc2861"/>
      <w:bookmarkStart w:id="66" w:name="_Toc14293"/>
      <w:bookmarkStart w:id="67" w:name="_Toc27470"/>
      <w:r>
        <w:rPr>
          <w:rFonts w:hint="eastAsia" w:ascii="宋体" w:hAnsi="宋体" w:eastAsia="宋体" w:cs="宋体"/>
          <w:b/>
          <w:color w:val="auto"/>
          <w:sz w:val="24"/>
          <w:highlight w:val="none"/>
        </w:rPr>
        <w:t>二、供应商须知正文</w:t>
      </w:r>
      <w:bookmarkEnd w:id="64"/>
      <w:bookmarkEnd w:id="65"/>
      <w:bookmarkEnd w:id="66"/>
      <w:bookmarkEnd w:id="67"/>
    </w:p>
    <w:p w14:paraId="6BDDE02F">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cs="宋体"/>
          <w:b/>
          <w:color w:val="auto"/>
          <w:sz w:val="24"/>
          <w:highlight w:val="none"/>
          <w:lang w:eastAsia="zh-CN"/>
        </w:rPr>
        <w:t>发包人</w:t>
      </w:r>
      <w:r>
        <w:rPr>
          <w:rFonts w:hint="eastAsia" w:ascii="宋体" w:hAnsi="宋体" w:eastAsia="宋体" w:cs="宋体"/>
          <w:b/>
          <w:color w:val="auto"/>
          <w:sz w:val="24"/>
          <w:highlight w:val="none"/>
        </w:rPr>
        <w:t>、</w:t>
      </w:r>
      <w:r>
        <w:rPr>
          <w:rFonts w:hint="eastAsia" w:ascii="宋体" w:hAnsi="宋体" w:cs="宋体"/>
          <w:b/>
          <w:color w:val="auto"/>
          <w:sz w:val="24"/>
          <w:highlight w:val="none"/>
          <w:lang w:eastAsia="zh-CN"/>
        </w:rPr>
        <w:t>代理机构</w:t>
      </w:r>
      <w:r>
        <w:rPr>
          <w:rFonts w:hint="eastAsia" w:ascii="宋体" w:hAnsi="宋体" w:eastAsia="宋体" w:cs="宋体"/>
          <w:b/>
          <w:color w:val="auto"/>
          <w:sz w:val="24"/>
          <w:highlight w:val="none"/>
        </w:rPr>
        <w:t>及供应商</w:t>
      </w:r>
    </w:p>
    <w:p w14:paraId="0E03960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：是指依法开展采购活动的国家机关、事业单位、团体组织。</w:t>
      </w:r>
    </w:p>
    <w:p w14:paraId="65AA283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：是指从事采购代理业务的社会中介机构。</w:t>
      </w:r>
    </w:p>
    <w:p w14:paraId="4C682F5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1.3采购监督管理部门：</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rPr>
        <w:t>。</w:t>
      </w:r>
    </w:p>
    <w:p w14:paraId="2BEC615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1.4供应商：是指向</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提供货物、工程或者服务的法人、其他组织或者自然人。分支机构不得参加采购活动，但银行、保险、石油石化、电力、电信等有行业特殊情况的，</w:t>
      </w:r>
      <w:r>
        <w:rPr>
          <w:rFonts w:hint="eastAsia" w:ascii="宋体" w:hAnsi="宋体" w:eastAsia="宋体" w:cs="宋体"/>
          <w:color w:val="auto"/>
          <w:sz w:val="24"/>
          <w:highlight w:val="none"/>
          <w:lang w:eastAsia="zh-CN"/>
        </w:rPr>
        <w:t>在</w:t>
      </w:r>
      <w:r>
        <w:rPr>
          <w:rFonts w:hint="eastAsia" w:ascii="宋体" w:hAnsi="宋体" w:eastAsia="宋体" w:cs="宋体"/>
          <w:color w:val="auto"/>
          <w:sz w:val="24"/>
          <w:highlight w:val="none"/>
          <w:lang w:val="en-US" w:eastAsia="zh-CN"/>
        </w:rPr>
        <w:t>取得上级法人公司</w:t>
      </w:r>
      <w:r>
        <w:rPr>
          <w:rFonts w:hint="eastAsia" w:ascii="宋体" w:hAnsi="宋体" w:eastAsia="宋体" w:cs="宋体"/>
          <w:color w:val="auto"/>
          <w:sz w:val="24"/>
          <w:highlight w:val="none"/>
        </w:rPr>
        <w:t>授权后可以分公司名义参与投标</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本项目的供应商及其所投货物须满足以下条件：</w:t>
      </w:r>
    </w:p>
    <w:p w14:paraId="4E3B34C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1.4.1遵守本项目</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本级和上级</w:t>
      </w:r>
      <w:r>
        <w:rPr>
          <w:rFonts w:hint="eastAsia" w:ascii="宋体" w:hAnsi="宋体" w:eastAsia="宋体" w:cs="宋体"/>
          <w:color w:val="auto"/>
          <w:sz w:val="24"/>
          <w:highlight w:val="none"/>
          <w:lang w:val="en-US" w:eastAsia="zh-CN"/>
        </w:rPr>
        <w:t>有关</w:t>
      </w:r>
      <w:r>
        <w:rPr>
          <w:rFonts w:hint="eastAsia" w:ascii="宋体" w:hAnsi="宋体" w:eastAsia="宋体" w:cs="宋体"/>
          <w:color w:val="auto"/>
          <w:sz w:val="24"/>
          <w:highlight w:val="none"/>
        </w:rPr>
        <w:t>部门采购的有关规定。</w:t>
      </w:r>
    </w:p>
    <w:p w14:paraId="513ED17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1.4.2以</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认可的方式获得了本项目的</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w:t>
      </w:r>
    </w:p>
    <w:p w14:paraId="18CA99A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1.4.3若采购需求中写明允许采购进口产品，供应商应保证所投产品可履行合法报通关手续进入中国关境内。</w:t>
      </w:r>
    </w:p>
    <w:p w14:paraId="74660ED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若采购需求中未写明允许采购进口产品，如供应商所投产品为进口产品，其响应文件将被认定为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6ED8E78E">
      <w:pPr>
        <w:spacing w:line="360" w:lineRule="auto"/>
        <w:ind w:firstLine="435"/>
        <w:rPr>
          <w:rFonts w:hint="eastAsia" w:ascii="宋体" w:hAnsi="宋体" w:eastAsia="宋体" w:cs="宋体"/>
          <w:color w:val="auto"/>
          <w:sz w:val="24"/>
          <w:highlight w:val="none"/>
        </w:rPr>
      </w:pPr>
      <w:bookmarkStart w:id="68" w:name="_Hlk60607583"/>
      <w:r>
        <w:rPr>
          <w:rFonts w:hint="eastAsia" w:ascii="宋体" w:hAnsi="宋体" w:eastAsia="宋体" w:cs="宋体"/>
          <w:bCs/>
          <w:color w:val="auto"/>
          <w:kern w:val="0"/>
          <w:sz w:val="24"/>
          <w:szCs w:val="28"/>
          <w:highlight w:val="none"/>
        </w:rPr>
        <w:t>1.5若</w:t>
      </w:r>
      <w:r>
        <w:rPr>
          <w:rFonts w:hint="eastAsia" w:ascii="宋体" w:hAnsi="宋体" w:eastAsia="宋体" w:cs="宋体"/>
          <w:bCs/>
          <w:color w:val="auto"/>
          <w:kern w:val="0"/>
          <w:sz w:val="24"/>
          <w:szCs w:val="28"/>
          <w:highlight w:val="none"/>
          <w:lang w:eastAsia="zh-CN"/>
        </w:rPr>
        <w:t>采购</w:t>
      </w:r>
      <w:r>
        <w:rPr>
          <w:rFonts w:hint="eastAsia" w:ascii="宋体" w:hAnsi="宋体" w:eastAsia="宋体" w:cs="宋体"/>
          <w:bCs/>
          <w:color w:val="auto"/>
          <w:kern w:val="0"/>
          <w:sz w:val="24"/>
          <w:szCs w:val="28"/>
          <w:highlight w:val="none"/>
          <w:lang w:val="en-US" w:eastAsia="zh-CN"/>
        </w:rPr>
        <w:t>公告</w:t>
      </w:r>
      <w:r>
        <w:rPr>
          <w:rFonts w:hint="eastAsia" w:ascii="宋体" w:hAnsi="宋体" w:eastAsia="宋体" w:cs="宋体"/>
          <w:bCs/>
          <w:color w:val="auto"/>
          <w:kern w:val="0"/>
          <w:sz w:val="24"/>
          <w:szCs w:val="28"/>
          <w:highlight w:val="none"/>
        </w:rPr>
        <w:t>中允许联合体参加，对联合体规定如下：</w:t>
      </w:r>
    </w:p>
    <w:bookmarkEnd w:id="68"/>
    <w:p w14:paraId="578F948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1.5.1两个以上供应商可以组成一个联合体，以一个供应商的身份</w:t>
      </w:r>
      <w:r>
        <w:rPr>
          <w:rFonts w:hint="eastAsia" w:ascii="宋体" w:hAnsi="宋体" w:cs="宋体"/>
          <w:color w:val="auto"/>
          <w:sz w:val="24"/>
          <w:highlight w:val="none"/>
          <w:lang w:val="en-US" w:eastAsia="zh-CN"/>
        </w:rPr>
        <w:t>参与</w:t>
      </w:r>
      <w:r>
        <w:rPr>
          <w:rFonts w:hint="eastAsia" w:ascii="宋体" w:hAnsi="宋体" w:eastAsia="宋体" w:cs="宋体"/>
          <w:color w:val="auto"/>
          <w:sz w:val="24"/>
          <w:highlight w:val="none"/>
        </w:rPr>
        <w:t>。</w:t>
      </w:r>
    </w:p>
    <w:p w14:paraId="3AD9102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1.5.2</w:t>
      </w:r>
      <w:r>
        <w:rPr>
          <w:rFonts w:hint="eastAsia" w:ascii="宋体" w:hAnsi="宋体" w:eastAsia="宋体" w:cs="宋体"/>
          <w:color w:val="auto"/>
          <w:sz w:val="24"/>
          <w:highlight w:val="none"/>
          <w:lang w:val="en-US" w:eastAsia="zh-CN"/>
        </w:rPr>
        <w:t xml:space="preserve"> </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根据采购项目对供应商的特殊要求，联合体中至少应当有一方符合相关规定。</w:t>
      </w:r>
    </w:p>
    <w:p w14:paraId="72A8BA3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联合体各方应签订联合协议，明确约定联合体各方承担的工作和相应的责任，并将联合协议作为响应文件的一部分提交。</w:t>
      </w:r>
    </w:p>
    <w:p w14:paraId="2691105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大中型企业、其他自然人、法人或者非法人组织与小型、微型企业组成联合体共同参加</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，联合协议中应写明小型、微型企业的协议合同金额占到联合协议合同总金额的比例。</w:t>
      </w:r>
    </w:p>
    <w:p w14:paraId="4192DD6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联合体中有同类资质的供应商按照联合体分工承担相同工作的，应当按照资质等级较低的供应商确定资质等级。</w:t>
      </w:r>
    </w:p>
    <w:p w14:paraId="1EBD52E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以联合体形式参加采购活动的，联合体各方不得再单独参加或者与其他供应商另外组成联合体参加本项目</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，否则相关响应文件将被认定为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70711EE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对联合体参加</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的其他资格要求见申请人的资格要求。</w:t>
      </w:r>
    </w:p>
    <w:p w14:paraId="660B4DF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2.资金落实情况</w:t>
      </w:r>
    </w:p>
    <w:p w14:paraId="3F340EA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2.1本项目的</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已获得足以支付本次磋商后所签订的合同项下的资金。</w:t>
      </w:r>
    </w:p>
    <w:p w14:paraId="16428421">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w:t>
      </w:r>
      <w:r>
        <w:rPr>
          <w:rFonts w:hint="eastAsia" w:ascii="宋体" w:hAnsi="宋体" w:cs="宋体"/>
          <w:b/>
          <w:color w:val="auto"/>
          <w:sz w:val="24"/>
          <w:highlight w:val="none"/>
          <w:lang w:val="en-US" w:eastAsia="zh-CN"/>
        </w:rPr>
        <w:t>发包</w:t>
      </w:r>
      <w:r>
        <w:rPr>
          <w:rFonts w:hint="eastAsia" w:ascii="宋体" w:hAnsi="宋体" w:eastAsia="宋体" w:cs="宋体"/>
          <w:b/>
          <w:color w:val="auto"/>
          <w:sz w:val="24"/>
          <w:highlight w:val="none"/>
        </w:rPr>
        <w:t>费用</w:t>
      </w:r>
    </w:p>
    <w:p w14:paraId="4F01D12E">
      <w:pPr>
        <w:spacing w:line="360" w:lineRule="auto"/>
        <w:ind w:firstLine="480" w:firstLineChars="200"/>
        <w:outlineLvl w:val="2"/>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不论</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的结果如何，供应商应承担其所有与准备和参加</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有关的费用</w:t>
      </w:r>
      <w:r>
        <w:rPr>
          <w:rFonts w:hint="eastAsia" w:ascii="宋体" w:hAnsi="宋体" w:eastAsia="宋体" w:cs="宋体"/>
          <w:color w:val="auto"/>
          <w:sz w:val="24"/>
          <w:highlight w:val="none"/>
          <w:lang w:eastAsia="zh-CN"/>
        </w:rPr>
        <w:t>。</w:t>
      </w:r>
    </w:p>
    <w:p w14:paraId="69BA0F9E">
      <w:pPr>
        <w:spacing w:line="360" w:lineRule="auto"/>
        <w:ind w:firstLine="482" w:firstLineChars="200"/>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4.适用法律</w:t>
      </w:r>
    </w:p>
    <w:p w14:paraId="7F29FFB3">
      <w:pPr>
        <w:spacing w:line="360" w:lineRule="auto"/>
        <w:ind w:firstLine="480" w:firstLineChars="200"/>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、供应商、</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的相关行为均受</w:t>
      </w:r>
      <w:r>
        <w:rPr>
          <w:rFonts w:hint="eastAsia" w:ascii="宋体" w:hAnsi="宋体" w:eastAsia="宋体" w:cs="宋体"/>
          <w:color w:val="auto"/>
          <w:sz w:val="24"/>
          <w:highlight w:val="none"/>
          <w:lang w:val="en-US" w:eastAsia="zh-CN"/>
        </w:rPr>
        <w:t>相关法律法规</w:t>
      </w:r>
      <w:r>
        <w:rPr>
          <w:rFonts w:hint="eastAsia" w:ascii="宋体" w:hAnsi="宋体" w:eastAsia="宋体" w:cs="宋体"/>
          <w:color w:val="auto"/>
          <w:sz w:val="24"/>
          <w:highlight w:val="none"/>
        </w:rPr>
        <w:t>及本项目本级和上级</w:t>
      </w:r>
      <w:r>
        <w:rPr>
          <w:rFonts w:hint="eastAsia" w:ascii="宋体" w:hAnsi="宋体" w:eastAsia="宋体" w:cs="宋体"/>
          <w:color w:val="auto"/>
          <w:sz w:val="24"/>
          <w:highlight w:val="none"/>
          <w:lang w:val="en-US" w:eastAsia="zh-CN"/>
        </w:rPr>
        <w:t>有关</w:t>
      </w:r>
      <w:r>
        <w:rPr>
          <w:rFonts w:hint="eastAsia" w:ascii="宋体" w:hAnsi="宋体" w:eastAsia="宋体" w:cs="宋体"/>
          <w:color w:val="auto"/>
          <w:sz w:val="24"/>
          <w:highlight w:val="none"/>
        </w:rPr>
        <w:t>部门的采购有关规定的约束，其权利受到法律法规的保护。</w:t>
      </w:r>
    </w:p>
    <w:p w14:paraId="53FA865C">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5.</w:t>
      </w:r>
      <w:r>
        <w:rPr>
          <w:rFonts w:hint="eastAsia" w:ascii="宋体" w:hAnsi="宋体" w:cs="宋体"/>
          <w:b/>
          <w:color w:val="auto"/>
          <w:sz w:val="24"/>
          <w:highlight w:val="none"/>
          <w:lang w:eastAsia="zh-CN"/>
        </w:rPr>
        <w:t>发包文件</w:t>
      </w:r>
      <w:r>
        <w:rPr>
          <w:rFonts w:hint="eastAsia" w:ascii="宋体" w:hAnsi="宋体" w:eastAsia="宋体" w:cs="宋体"/>
          <w:b/>
          <w:color w:val="auto"/>
          <w:sz w:val="24"/>
          <w:highlight w:val="none"/>
        </w:rPr>
        <w:t>构成</w:t>
      </w:r>
    </w:p>
    <w:p w14:paraId="20D9733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5.1</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包括下列内容：</w:t>
      </w:r>
    </w:p>
    <w:p w14:paraId="04FAEE96">
      <w:pPr>
        <w:spacing w:line="360" w:lineRule="auto"/>
        <w:ind w:firstLine="840" w:firstLineChars="35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 xml:space="preserve">第一章  </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lang w:val="en-US" w:eastAsia="zh-CN"/>
        </w:rPr>
        <w:t>公告</w:t>
      </w:r>
    </w:p>
    <w:p w14:paraId="45146225">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第二章  供应商须知</w:t>
      </w:r>
    </w:p>
    <w:p w14:paraId="08319A34">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第三章  采购需求</w:t>
      </w:r>
    </w:p>
    <w:p w14:paraId="7886EDD0">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第四章  评审方法和标准</w:t>
      </w:r>
    </w:p>
    <w:p w14:paraId="6A4BC0D5">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第五章  采购合同</w:t>
      </w:r>
    </w:p>
    <w:p w14:paraId="39865313">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第六章  响应文件格式</w:t>
      </w:r>
    </w:p>
    <w:p w14:paraId="6BD9CA7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5.2现场考察及相关事项见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33353F4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5.3供应商应认真阅读</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所有的事项、格式、条款和技术规范等。</w:t>
      </w:r>
    </w:p>
    <w:p w14:paraId="12B14D11">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6.</w:t>
      </w:r>
      <w:r>
        <w:rPr>
          <w:rFonts w:hint="eastAsia" w:ascii="宋体" w:hAnsi="宋体" w:cs="宋体"/>
          <w:b/>
          <w:color w:val="auto"/>
          <w:sz w:val="24"/>
          <w:highlight w:val="none"/>
          <w:lang w:eastAsia="zh-CN"/>
        </w:rPr>
        <w:t>发包文件</w:t>
      </w:r>
      <w:r>
        <w:rPr>
          <w:rFonts w:hint="eastAsia" w:ascii="宋体" w:hAnsi="宋体" w:eastAsia="宋体" w:cs="宋体"/>
          <w:b/>
          <w:color w:val="auto"/>
          <w:sz w:val="24"/>
          <w:highlight w:val="none"/>
        </w:rPr>
        <w:t>的澄清与修改</w:t>
      </w:r>
    </w:p>
    <w:p w14:paraId="5C52523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6.1供应商如对</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内容有疑问，</w:t>
      </w:r>
      <w:r>
        <w:rPr>
          <w:rFonts w:hint="eastAsia" w:ascii="宋体" w:hAnsi="宋体" w:eastAsia="宋体" w:cs="宋体"/>
          <w:color w:val="auto"/>
          <w:sz w:val="24"/>
          <w:highlight w:val="none"/>
          <w:lang w:eastAsia="zh-CN"/>
        </w:rPr>
        <w:t>可通过</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规定的提问形式提交给</w:t>
      </w:r>
      <w:r>
        <w:rPr>
          <w:rFonts w:hint="eastAsia" w:ascii="宋体" w:hAnsi="宋体" w:cs="宋体"/>
          <w:color w:val="auto"/>
          <w:sz w:val="24"/>
          <w:highlight w:val="none"/>
          <w:lang w:val="en-US" w:eastAsia="zh-CN"/>
        </w:rPr>
        <w:t>发包人</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w:t>
      </w:r>
    </w:p>
    <w:p w14:paraId="64389EA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6.2</w:t>
      </w:r>
      <w:r>
        <w:rPr>
          <w:rFonts w:hint="eastAsia" w:ascii="宋体" w:hAnsi="宋体" w:cs="宋体"/>
          <w:color w:val="auto"/>
          <w:sz w:val="24"/>
          <w:highlight w:val="none"/>
          <w:lang w:val="en-US" w:eastAsia="zh-CN"/>
        </w:rPr>
        <w:t>发包人</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可主动地或在答复供应商提出的询问时对</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进行澄清与修改。</w:t>
      </w:r>
      <w:r>
        <w:rPr>
          <w:rFonts w:hint="eastAsia" w:ascii="宋体" w:hAnsi="宋体" w:cs="宋体"/>
          <w:color w:val="auto"/>
          <w:sz w:val="24"/>
          <w:highlight w:val="none"/>
          <w:lang w:val="en-US" w:eastAsia="zh-CN"/>
        </w:rPr>
        <w:t>发包人</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将在</w:t>
      </w:r>
      <w:bookmarkStart w:id="69" w:name="_Hlk16458572"/>
      <w:r>
        <w:rPr>
          <w:rFonts w:hint="eastAsia" w:ascii="宋体" w:hAnsi="宋体" w:eastAsia="宋体" w:cs="宋体"/>
          <w:color w:val="auto"/>
          <w:sz w:val="24"/>
          <w:szCs w:val="18"/>
          <w:highlight w:val="none"/>
          <w:lang w:val="en-US" w:eastAsia="zh-CN"/>
        </w:rPr>
        <w:t>新点电子交易平台</w:t>
      </w:r>
      <w:bookmarkEnd w:id="69"/>
      <w:r>
        <w:rPr>
          <w:rFonts w:hint="eastAsia" w:ascii="宋体" w:hAnsi="宋体" w:eastAsia="宋体" w:cs="宋体"/>
          <w:color w:val="auto"/>
          <w:sz w:val="24"/>
          <w:highlight w:val="none"/>
          <w:lang w:val="en-US" w:eastAsia="zh-CN"/>
        </w:rPr>
        <w:t>以</w:t>
      </w:r>
      <w:r>
        <w:rPr>
          <w:rFonts w:hint="eastAsia" w:ascii="宋体" w:hAnsi="宋体" w:eastAsia="宋体" w:cs="宋体"/>
          <w:color w:val="auto"/>
          <w:sz w:val="24"/>
          <w:highlight w:val="none"/>
        </w:rPr>
        <w:t>发布更正公告的方式澄清或者修改</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，更正公告的内容作为</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的组成部分，对供应商起约束作用。供应商应主动上网查询。</w:t>
      </w:r>
      <w:r>
        <w:rPr>
          <w:rFonts w:hint="eastAsia" w:ascii="宋体" w:hAnsi="宋体" w:cs="宋体"/>
          <w:color w:val="auto"/>
          <w:sz w:val="24"/>
          <w:highlight w:val="none"/>
          <w:lang w:val="en-US" w:eastAsia="zh-CN"/>
        </w:rPr>
        <w:t>发包人</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不承担供应商未及时关注相关信息引发的相关责任。</w:t>
      </w:r>
    </w:p>
    <w:p w14:paraId="5B377B9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6.3任何人或任何组织向供应商提供的任何书面或口头资料，未经</w:t>
      </w:r>
      <w:r>
        <w:rPr>
          <w:rFonts w:hint="eastAsia" w:ascii="宋体" w:hAnsi="宋体" w:cs="宋体"/>
          <w:color w:val="auto"/>
          <w:sz w:val="24"/>
          <w:highlight w:val="none"/>
          <w:lang w:val="en-US" w:eastAsia="zh-CN"/>
        </w:rPr>
        <w:t>发包人</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在网上发布或书面通知，均作无效处理，不得作为</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的组成部分。</w:t>
      </w:r>
      <w:r>
        <w:rPr>
          <w:rFonts w:hint="eastAsia" w:ascii="宋体" w:hAnsi="宋体" w:cs="宋体"/>
          <w:color w:val="auto"/>
          <w:sz w:val="24"/>
          <w:highlight w:val="none"/>
          <w:lang w:val="en-US" w:eastAsia="zh-CN"/>
        </w:rPr>
        <w:t>发包人</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对供应商由此而做出的推论、理解和结论概不负责。</w:t>
      </w:r>
    </w:p>
    <w:p w14:paraId="4F24158A">
      <w:pPr>
        <w:spacing w:line="360" w:lineRule="auto"/>
        <w:ind w:firstLine="435"/>
        <w:rPr>
          <w:rFonts w:hint="eastAsia" w:ascii="宋体" w:hAnsi="宋体" w:eastAsia="宋体" w:cs="宋体"/>
          <w:iCs/>
          <w:color w:val="auto"/>
          <w:sz w:val="24"/>
          <w:highlight w:val="none"/>
        </w:rPr>
      </w:pPr>
      <w:r>
        <w:rPr>
          <w:rFonts w:hint="eastAsia" w:ascii="宋体" w:hAnsi="宋体" w:eastAsia="宋体" w:cs="宋体"/>
          <w:color w:val="auto"/>
          <w:sz w:val="24"/>
          <w:highlight w:val="none"/>
        </w:rPr>
        <w:t>6.4对于没有提出询问又参与了本项目的供应商将被视为完全认同本</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（含更正公告的内容）。</w:t>
      </w:r>
    </w:p>
    <w:p w14:paraId="41788401">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7.</w:t>
      </w:r>
      <w:r>
        <w:rPr>
          <w:rFonts w:hint="eastAsia" w:ascii="宋体" w:hAnsi="宋体" w:cs="宋体"/>
          <w:b/>
          <w:color w:val="auto"/>
          <w:sz w:val="24"/>
          <w:highlight w:val="none"/>
          <w:lang w:val="en-US" w:eastAsia="zh-CN"/>
        </w:rPr>
        <w:t>发包</w:t>
      </w:r>
      <w:r>
        <w:rPr>
          <w:rFonts w:hint="eastAsia" w:ascii="宋体" w:hAnsi="宋体" w:eastAsia="宋体" w:cs="宋体"/>
          <w:b/>
          <w:color w:val="auto"/>
          <w:sz w:val="24"/>
          <w:highlight w:val="none"/>
        </w:rPr>
        <w:t>范围及响应文件中标准和计量单位的使用</w:t>
      </w:r>
    </w:p>
    <w:p w14:paraId="25003AD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7.1项目有分包的，供应商可参与其中某一个或多个分包的，成交包数详见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w:t>
      </w:r>
    </w:p>
    <w:p w14:paraId="370AADBC">
      <w:pPr>
        <w:spacing w:line="360" w:lineRule="auto"/>
        <w:ind w:firstLine="435"/>
        <w:rPr>
          <w:rFonts w:hint="eastAsia" w:ascii="宋体" w:hAnsi="宋体" w:eastAsia="宋体" w:cs="宋体"/>
          <w:color w:val="auto"/>
          <w:highlight w:val="none"/>
        </w:rPr>
      </w:pPr>
      <w:r>
        <w:rPr>
          <w:rFonts w:hint="eastAsia" w:ascii="宋体" w:hAnsi="宋体" w:eastAsia="宋体" w:cs="宋体"/>
          <w:color w:val="auto"/>
          <w:sz w:val="24"/>
          <w:highlight w:val="none"/>
        </w:rPr>
        <w:t>7.2 供应商应当对所投分包</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中“采购需求”所列的所有内容进行响应，如仅响应所投包别中的部分内容，其所投包别的响应将被认定为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0CF53CF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7.3无论</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中是否要求，供应商所投服务及伴随的货物和工程均应符合国家强制性标准。</w:t>
      </w:r>
    </w:p>
    <w:p w14:paraId="43A0A3B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7.4供应商与</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之间与</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有关的所有往来通知、函件和响应文件均用中文表述。供应商随响应文件提供的证明文件和资料可以为其它语言，但必须附中文译文。翻译的中文资料与外文资料如果出现差异时，以中文为准。</w:t>
      </w:r>
    </w:p>
    <w:p w14:paraId="79FF9A4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7.5除</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中有特殊要求外，响应文件中所使用的计量单位，应采用中华人民共和国法定计量单位。</w:t>
      </w:r>
    </w:p>
    <w:p w14:paraId="016DC20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8.响应文件构成</w:t>
      </w:r>
    </w:p>
    <w:p w14:paraId="4F15A68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8.1供应商应完整地按</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提供的响应文件格式及要求编写响应文件，具体内容详见本项目响应文件格式的相关内容。</w:t>
      </w:r>
    </w:p>
    <w:p w14:paraId="032CFA2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8.2供应商应提交</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要求的证明文件，证明其响应内容符合</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规定，该证明文件是响应文件的一部分。证明文件形式可以是文字资料、图纸和数据等。</w:t>
      </w:r>
    </w:p>
    <w:p w14:paraId="4CAF3E7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8.3为保证公平公正，除非另有规定或说明，供应商对同一项目，不得同时提供备选方案。</w:t>
      </w:r>
    </w:p>
    <w:p w14:paraId="47AAD68D">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9.报价</w:t>
      </w:r>
    </w:p>
    <w:p w14:paraId="5EA8A2C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9.1供应商的报价应当包括满足本次</w:t>
      </w:r>
      <w:r>
        <w:rPr>
          <w:rFonts w:hint="eastAsia" w:ascii="宋体" w:hAnsi="宋体" w:cs="宋体"/>
          <w:color w:val="auto"/>
          <w:sz w:val="24"/>
          <w:highlight w:val="none"/>
          <w:lang w:val="en-US" w:eastAsia="zh-CN"/>
        </w:rPr>
        <w:t>发包文件</w:t>
      </w:r>
      <w:r>
        <w:rPr>
          <w:rFonts w:hint="eastAsia" w:ascii="宋体" w:hAnsi="宋体" w:eastAsia="宋体" w:cs="宋体"/>
          <w:color w:val="auto"/>
          <w:sz w:val="24"/>
          <w:highlight w:val="none"/>
        </w:rPr>
        <w:t>全部采购需求所应提供的服务，以及伴随的货物和工程。除</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另有规定外，所有内容均应以人民币报价，供应商的报价应遵守《中华人民共和国价格法》。</w:t>
      </w:r>
    </w:p>
    <w:p w14:paraId="1FCBA9F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9.2除非</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另有规定或经</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同意支付的，最后报价均不得高于</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（公告）列明的项目预算，否则其响应文件将被认定为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628F078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9.3报价在合同履行过程中是固定不变的，不得以任何理由予以变更。任何包含价格调整要求的，其响应文件将被认定为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304A96DC">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9.4</w:t>
      </w:r>
      <w:r>
        <w:rPr>
          <w:rFonts w:hint="eastAsia" w:ascii="宋体" w:hAnsi="宋体" w:eastAsia="宋体" w:cs="宋体"/>
          <w:color w:val="auto"/>
          <w:sz w:val="24"/>
          <w:szCs w:val="24"/>
          <w:highlight w:val="none"/>
          <w:lang w:val="en-US" w:eastAsia="zh-CN"/>
        </w:rPr>
        <w:t>评审中出现</w:t>
      </w:r>
      <w:r>
        <w:rPr>
          <w:rFonts w:hint="eastAsia" w:ascii="宋体" w:hAnsi="宋体" w:eastAsia="宋体" w:cs="宋体"/>
          <w:color w:val="auto"/>
          <w:sz w:val="24"/>
          <w:szCs w:val="24"/>
          <w:highlight w:val="none"/>
          <w:u w:val="single"/>
          <w:lang w:val="en-US" w:eastAsia="zh-CN"/>
        </w:rPr>
        <w:t>供应商须知前附表</w:t>
      </w:r>
      <w:r>
        <w:rPr>
          <w:rFonts w:hint="eastAsia" w:ascii="宋体" w:hAnsi="宋体" w:eastAsia="宋体" w:cs="宋体"/>
          <w:color w:val="auto"/>
          <w:sz w:val="24"/>
          <w:szCs w:val="24"/>
          <w:highlight w:val="none"/>
          <w:u w:val="none"/>
          <w:lang w:val="en-US" w:eastAsia="zh-CN"/>
        </w:rPr>
        <w:t>所列</w:t>
      </w:r>
      <w:r>
        <w:rPr>
          <w:rFonts w:hint="eastAsia" w:ascii="宋体" w:hAnsi="宋体" w:eastAsia="宋体" w:cs="宋体"/>
          <w:color w:val="auto"/>
          <w:sz w:val="24"/>
          <w:szCs w:val="24"/>
          <w:highlight w:val="none"/>
          <w:lang w:val="en-US" w:eastAsia="zh-CN"/>
        </w:rPr>
        <w:t>情形之一的</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评审小组</w:t>
      </w:r>
      <w:r>
        <w:rPr>
          <w:rFonts w:hint="eastAsia" w:ascii="宋体" w:hAnsi="宋体" w:eastAsia="宋体" w:cs="宋体"/>
          <w:color w:val="auto"/>
          <w:sz w:val="24"/>
          <w:highlight w:val="none"/>
          <w:lang w:val="en-US" w:eastAsia="zh-CN"/>
        </w:rPr>
        <w:t>应当启动异常低价响应审查程序。</w:t>
      </w:r>
    </w:p>
    <w:p w14:paraId="52019C7F">
      <w:pPr>
        <w:spacing w:line="360" w:lineRule="auto"/>
        <w:ind w:firstLine="435"/>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评审小组</w:t>
      </w:r>
      <w:r>
        <w:rPr>
          <w:rFonts w:hint="eastAsia" w:ascii="宋体" w:hAnsi="宋体" w:eastAsia="宋体" w:cs="宋体"/>
          <w:color w:val="auto"/>
          <w:sz w:val="24"/>
          <w:highlight w:val="none"/>
          <w:lang w:val="en-US" w:eastAsia="zh-CN"/>
        </w:rPr>
        <w:t>启动异常低价响应审查后，属于表中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b/>
          <w:bCs/>
          <w:color w:val="auto"/>
          <w:sz w:val="24"/>
          <w:highlight w:val="none"/>
          <w:lang w:val="en-US" w:eastAsia="zh-CN"/>
        </w:rPr>
        <w:t>其中，属于第3项情形，供应商已随响应文件一并提交相关书面说明及必要的证明材料的，在评审现场可不再重复提交。</w:t>
      </w:r>
    </w:p>
    <w:p w14:paraId="572841D8">
      <w:pPr>
        <w:spacing w:line="360" w:lineRule="auto"/>
        <w:ind w:firstLine="435"/>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评审小组</w:t>
      </w:r>
      <w:r>
        <w:rPr>
          <w:rFonts w:hint="eastAsia" w:ascii="宋体" w:hAnsi="宋体" w:eastAsia="宋体" w:cs="宋体"/>
          <w:color w:val="auto"/>
          <w:sz w:val="24"/>
          <w:highlight w:val="none"/>
          <w:lang w:val="en-US" w:eastAsia="zh-CN"/>
        </w:rPr>
        <w:t>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其响应文件将被认定为</w:t>
      </w:r>
      <w:r>
        <w:rPr>
          <w:rFonts w:hint="eastAsia" w:ascii="宋体" w:hAnsi="宋体" w:eastAsia="宋体" w:cs="宋体"/>
          <w:b/>
          <w:bCs/>
          <w:color w:val="auto"/>
          <w:sz w:val="24"/>
          <w:highlight w:val="none"/>
          <w:lang w:val="en-US" w:eastAsia="zh-CN"/>
        </w:rPr>
        <w:t>响应无效</w:t>
      </w:r>
      <w:r>
        <w:rPr>
          <w:rFonts w:hint="eastAsia" w:ascii="宋体" w:hAnsi="宋体" w:eastAsia="宋体" w:cs="宋体"/>
          <w:color w:val="auto"/>
          <w:sz w:val="24"/>
          <w:highlight w:val="none"/>
          <w:lang w:val="en-US" w:eastAsia="zh-CN"/>
        </w:rPr>
        <w:t>。</w:t>
      </w:r>
    </w:p>
    <w:p w14:paraId="0B71602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r>
        <w:rPr>
          <w:rFonts w:hint="eastAsia" w:ascii="宋体" w:hAnsi="宋体" w:eastAsia="宋体" w:cs="宋体"/>
          <w:color w:val="auto"/>
          <w:sz w:val="24"/>
          <w:highlight w:val="none"/>
          <w:lang w:val="en-US" w:eastAsia="zh-CN"/>
        </w:rPr>
        <w:t>5</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不接受具有附加条件的报价。</w:t>
      </w:r>
    </w:p>
    <w:p w14:paraId="0D5B96C6">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10.</w:t>
      </w:r>
      <w:r>
        <w:rPr>
          <w:rFonts w:hint="eastAsia" w:ascii="宋体" w:hAnsi="宋体" w:cs="宋体"/>
          <w:b/>
          <w:color w:val="auto"/>
          <w:sz w:val="24"/>
          <w:highlight w:val="none"/>
          <w:lang w:eastAsia="zh-CN"/>
        </w:rPr>
        <w:t>发包</w:t>
      </w:r>
      <w:r>
        <w:rPr>
          <w:rFonts w:hint="eastAsia" w:ascii="宋体" w:hAnsi="宋体" w:eastAsia="宋体" w:cs="宋体"/>
          <w:b/>
          <w:color w:val="auto"/>
          <w:sz w:val="24"/>
          <w:highlight w:val="none"/>
        </w:rPr>
        <w:t>保证金</w:t>
      </w:r>
    </w:p>
    <w:p w14:paraId="2B5BCB2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10.1本项目不收取</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保证金。</w:t>
      </w:r>
    </w:p>
    <w:p w14:paraId="6699D586">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11.</w:t>
      </w:r>
      <w:r>
        <w:rPr>
          <w:rFonts w:hint="eastAsia" w:ascii="宋体" w:hAnsi="宋体" w:cs="宋体"/>
          <w:b/>
          <w:color w:val="auto"/>
          <w:sz w:val="24"/>
          <w:highlight w:val="none"/>
          <w:lang w:eastAsia="zh-CN"/>
        </w:rPr>
        <w:t>发包</w:t>
      </w:r>
      <w:r>
        <w:rPr>
          <w:rFonts w:hint="eastAsia" w:ascii="宋体" w:hAnsi="宋体" w:eastAsia="宋体" w:cs="宋体"/>
          <w:b/>
          <w:color w:val="auto"/>
          <w:sz w:val="24"/>
          <w:highlight w:val="none"/>
        </w:rPr>
        <w:t>有效期</w:t>
      </w:r>
    </w:p>
    <w:p w14:paraId="404218E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11.1</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有效期为从响应文件提交截止之日算起的日历天数，</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有效期详见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50CA1ED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11.2在</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有效期内，供应商的</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保持有效，供应商不得要求撤销或修改其响应文件。</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有效期不满足要求的响应，其响应文件将被认定为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2C0BBA4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11.3为保证有充分时间签订合同，</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或</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可根据实际情况，在原</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有效期截止之前，要求供应商延长</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有效期。接受该要求的供应商将不会被要求和允许修正其响应文件。供应商可以拒绝延长</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有效期的要求，且不承担任何责任。上述要求和答复都应以书面形式提交。</w:t>
      </w:r>
    </w:p>
    <w:p w14:paraId="46866053">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12.响应文件的提交、修改与撤回</w:t>
      </w:r>
    </w:p>
    <w:p w14:paraId="65C11FB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12.1供应商应当在</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lang w:val="en-US" w:eastAsia="zh-CN"/>
        </w:rPr>
        <w:t>公告</w:t>
      </w:r>
      <w:r>
        <w:rPr>
          <w:rFonts w:hint="eastAsia" w:ascii="宋体" w:hAnsi="宋体" w:eastAsia="宋体" w:cs="宋体"/>
          <w:color w:val="auto"/>
          <w:sz w:val="24"/>
          <w:highlight w:val="none"/>
        </w:rPr>
        <w:t>规定的响应文件提交截止时间前，</w:t>
      </w:r>
      <w:r>
        <w:rPr>
          <w:rFonts w:hint="eastAsia" w:ascii="宋体" w:hAnsi="宋体" w:eastAsia="宋体" w:cs="宋体"/>
          <w:color w:val="auto"/>
          <w:sz w:val="24"/>
          <w:highlight w:val="none"/>
          <w:lang w:val="en-US" w:eastAsia="zh-CN"/>
        </w:rPr>
        <w:t>现场递交</w:t>
      </w:r>
      <w:r>
        <w:rPr>
          <w:rFonts w:hint="eastAsia" w:ascii="宋体" w:hAnsi="宋体" w:eastAsia="宋体" w:cs="宋体"/>
          <w:color w:val="auto"/>
          <w:sz w:val="24"/>
          <w:highlight w:val="none"/>
        </w:rPr>
        <w:t>响应文件。</w:t>
      </w:r>
    </w:p>
    <w:p w14:paraId="1CC805B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12.2供应商应当在响应文件提交截止时间前完成响应文件的提交，并可以补充、修改或者撤回响应文件。响应文件提交截止时间前未完成响应文件</w:t>
      </w:r>
      <w:r>
        <w:rPr>
          <w:rFonts w:hint="eastAsia" w:ascii="宋体" w:hAnsi="宋体" w:eastAsia="宋体" w:cs="宋体"/>
          <w:color w:val="auto"/>
          <w:sz w:val="24"/>
          <w:highlight w:val="none"/>
          <w:lang w:val="en-US" w:eastAsia="zh-CN"/>
        </w:rPr>
        <w:t>递交</w:t>
      </w:r>
      <w:r>
        <w:rPr>
          <w:rFonts w:hint="eastAsia" w:ascii="宋体" w:hAnsi="宋体" w:eastAsia="宋体" w:cs="宋体"/>
          <w:color w:val="auto"/>
          <w:sz w:val="24"/>
          <w:highlight w:val="none"/>
        </w:rPr>
        <w:t>的，视为撤回响应文件。未按规定</w:t>
      </w:r>
      <w:r>
        <w:rPr>
          <w:rFonts w:hint="eastAsia" w:ascii="宋体" w:hAnsi="宋体" w:eastAsia="宋体" w:cs="宋体"/>
          <w:color w:val="auto"/>
          <w:sz w:val="24"/>
          <w:highlight w:val="none"/>
          <w:lang w:val="en-US" w:eastAsia="zh-CN"/>
        </w:rPr>
        <w:t>密封</w:t>
      </w:r>
      <w:r>
        <w:rPr>
          <w:rFonts w:hint="eastAsia" w:ascii="宋体" w:hAnsi="宋体" w:eastAsia="宋体" w:cs="宋体"/>
          <w:color w:val="auto"/>
          <w:sz w:val="24"/>
          <w:highlight w:val="none"/>
        </w:rPr>
        <w:t>或响应文件提交截止时间后送达的响应文件，应当拒收。</w:t>
      </w:r>
    </w:p>
    <w:p w14:paraId="6F6DE4B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12.3</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在响应文件提交截止时间之后，供应商不得对其响应文件做任何修改。但属于</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在评审中发现的计算错误并进行核实的修改、按照</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的变动情况和</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的要求重新提交响应文件的，不在此列。</w:t>
      </w:r>
    </w:p>
    <w:p w14:paraId="5F2AB563">
      <w:pPr>
        <w:spacing w:line="360" w:lineRule="auto"/>
        <w:ind w:firstLine="437"/>
        <w:outlineLvl w:val="2"/>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rPr>
        <w:t>13.</w:t>
      </w:r>
      <w:r>
        <w:rPr>
          <w:rFonts w:hint="eastAsia" w:ascii="宋体" w:hAnsi="宋体" w:cs="宋体"/>
          <w:b/>
          <w:color w:val="auto"/>
          <w:sz w:val="24"/>
          <w:highlight w:val="none"/>
          <w:lang w:eastAsia="zh-CN"/>
        </w:rPr>
        <w:t>评审小组</w:t>
      </w:r>
    </w:p>
    <w:p w14:paraId="67A6B38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13.1本项目将依法组建</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成员由3人以上（含）单数组成，</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及其成员应当依照采购的有关规定履行相关职责和义务。</w:t>
      </w:r>
      <w:r>
        <w:rPr>
          <w:rFonts w:hint="eastAsia" w:ascii="宋体" w:hAnsi="宋体" w:eastAsia="宋体" w:cs="宋体"/>
          <w:color w:val="auto"/>
          <w:sz w:val="24"/>
          <w:highlight w:val="none"/>
          <w:lang w:val="en-US" w:eastAsia="zh-CN"/>
        </w:rPr>
        <w:t>本项目</w:t>
      </w:r>
      <w:r>
        <w:rPr>
          <w:rFonts w:hint="eastAsia" w:ascii="宋体" w:hAnsi="宋体" w:cs="宋体"/>
          <w:color w:val="auto"/>
          <w:sz w:val="24"/>
          <w:highlight w:val="none"/>
          <w:lang w:val="en-US" w:eastAsia="zh-CN"/>
        </w:rPr>
        <w:t>评审小组</w:t>
      </w:r>
      <w:r>
        <w:rPr>
          <w:rFonts w:hint="eastAsia" w:ascii="宋体" w:hAnsi="宋体" w:eastAsia="宋体" w:cs="宋体"/>
          <w:color w:val="auto"/>
          <w:sz w:val="24"/>
          <w:highlight w:val="none"/>
          <w:lang w:val="en-US" w:eastAsia="zh-CN"/>
        </w:rPr>
        <w:t>人数：</w:t>
      </w:r>
      <w:r>
        <w:rPr>
          <w:rFonts w:hint="eastAsia" w:ascii="宋体" w:hAnsi="宋体" w:eastAsia="宋体" w:cs="宋体"/>
          <w:color w:val="auto"/>
          <w:sz w:val="24"/>
          <w:highlight w:val="none"/>
          <w:u w:val="single"/>
          <w:lang w:val="en-US" w:eastAsia="zh-CN"/>
        </w:rPr>
        <w:t>见供应商须知前附表</w:t>
      </w:r>
      <w:r>
        <w:rPr>
          <w:rFonts w:hint="eastAsia" w:ascii="宋体" w:hAnsi="宋体" w:eastAsia="宋体" w:cs="宋体"/>
          <w:color w:val="auto"/>
          <w:sz w:val="24"/>
          <w:highlight w:val="none"/>
          <w:lang w:val="en-US" w:eastAsia="zh-CN"/>
        </w:rPr>
        <w:t>。</w:t>
      </w:r>
    </w:p>
    <w:p w14:paraId="151AD25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13.2</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依法对响应文件进行评审，并根据</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规定的程序、评定成交的标准等事项与实质性响应</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要求的供应商进行</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w:t>
      </w:r>
    </w:p>
    <w:p w14:paraId="47185CC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13.3</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应当从质量和服务均能满足</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实质性响应要求的供应商中，按照评审方法和标准推荐成交候选供应商，并编写评审报告。</w:t>
      </w:r>
    </w:p>
    <w:p w14:paraId="6769C40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14.响应文件的评审</w:t>
      </w:r>
    </w:p>
    <w:p w14:paraId="280130B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14.1</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和</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将在</w:t>
      </w:r>
      <w:r>
        <w:rPr>
          <w:rFonts w:hint="eastAsia" w:ascii="宋体" w:hAnsi="宋体" w:cs="宋体"/>
          <w:color w:val="auto"/>
          <w:sz w:val="24"/>
          <w:highlight w:val="none"/>
          <w:lang w:val="en-US" w:eastAsia="zh-CN"/>
        </w:rPr>
        <w:t>发包文件</w:t>
      </w:r>
      <w:r>
        <w:rPr>
          <w:rFonts w:hint="eastAsia" w:ascii="宋体" w:hAnsi="宋体" w:eastAsia="宋体" w:cs="宋体"/>
          <w:color w:val="auto"/>
          <w:sz w:val="24"/>
          <w:highlight w:val="none"/>
        </w:rPr>
        <w:t>规定的时间和地点组织</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w:t>
      </w:r>
    </w:p>
    <w:p w14:paraId="6395837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14.2</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活动采用综合评分法评审。</w:t>
      </w:r>
    </w:p>
    <w:p w14:paraId="2F9889D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综合评分法，是指响应文件满足</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全部实质性要求且按评审因素的量化指标评审得分最高的供应商为成交候选供应商的评审方法。</w:t>
      </w:r>
    </w:p>
    <w:p w14:paraId="1AE8EDD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14.3</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将按照</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规定的评审方法和标准对供应商独立进行评审。评审程序如下：</w:t>
      </w:r>
    </w:p>
    <w:p w14:paraId="528196F4">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14.3.1</w:t>
      </w:r>
      <w:r>
        <w:rPr>
          <w:rFonts w:hint="eastAsia" w:ascii="宋体" w:hAnsi="宋体" w:eastAsia="宋体" w:cs="宋体"/>
          <w:b/>
          <w:color w:val="auto"/>
          <w:sz w:val="24"/>
          <w:highlight w:val="none"/>
        </w:rPr>
        <w:t>初审</w:t>
      </w:r>
      <w:r>
        <w:rPr>
          <w:rFonts w:hint="eastAsia" w:ascii="宋体" w:hAnsi="宋体" w:eastAsia="宋体" w:cs="宋体"/>
          <w:color w:val="auto"/>
          <w:sz w:val="24"/>
          <w:highlight w:val="none"/>
        </w:rPr>
        <w:t>。</w:t>
      </w:r>
      <w:r>
        <w:rPr>
          <w:rFonts w:hint="eastAsia" w:ascii="宋体" w:hAnsi="宋体" w:cs="宋体"/>
          <w:color w:val="auto"/>
          <w:sz w:val="24"/>
          <w:szCs w:val="24"/>
          <w:highlight w:val="none"/>
          <w:lang w:eastAsia="zh-CN"/>
        </w:rPr>
        <w:t>发包人</w:t>
      </w:r>
      <w:r>
        <w:rPr>
          <w:rFonts w:hint="eastAsia" w:ascii="宋体" w:hAnsi="宋体" w:eastAsia="宋体" w:cs="宋体"/>
          <w:color w:val="auto"/>
          <w:sz w:val="24"/>
          <w:szCs w:val="24"/>
          <w:highlight w:val="none"/>
        </w:rPr>
        <w:t>或</w:t>
      </w:r>
      <w:r>
        <w:rPr>
          <w:rFonts w:hint="eastAsia" w:ascii="宋体" w:hAnsi="宋体" w:cs="宋体"/>
          <w:color w:val="auto"/>
          <w:sz w:val="24"/>
          <w:szCs w:val="24"/>
          <w:highlight w:val="none"/>
          <w:lang w:eastAsia="zh-CN"/>
        </w:rPr>
        <w:t>代理机构</w:t>
      </w:r>
      <w:r>
        <w:rPr>
          <w:rFonts w:hint="eastAsia" w:ascii="宋体" w:hAnsi="宋体" w:eastAsia="宋体" w:cs="宋体"/>
          <w:color w:val="auto"/>
          <w:sz w:val="24"/>
          <w:szCs w:val="24"/>
          <w:highlight w:val="none"/>
        </w:rPr>
        <w:t>依据法律法规和</w:t>
      </w:r>
      <w:r>
        <w:rPr>
          <w:rFonts w:hint="eastAsia" w:ascii="宋体" w:hAnsi="宋体" w:cs="宋体"/>
          <w:color w:val="auto"/>
          <w:sz w:val="24"/>
          <w:szCs w:val="24"/>
          <w:highlight w:val="none"/>
          <w:lang w:eastAsia="zh-CN"/>
        </w:rPr>
        <w:t>发包文件</w:t>
      </w:r>
      <w:r>
        <w:rPr>
          <w:rFonts w:hint="eastAsia" w:ascii="宋体" w:hAnsi="宋体" w:eastAsia="宋体" w:cs="宋体"/>
          <w:color w:val="auto"/>
          <w:sz w:val="24"/>
          <w:szCs w:val="24"/>
          <w:highlight w:val="none"/>
        </w:rPr>
        <w:t>中规定的内容，对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资格进行审查，未通过资格审查的</w:t>
      </w:r>
      <w:r>
        <w:rPr>
          <w:rFonts w:hint="eastAsia" w:ascii="宋体" w:hAnsi="宋体" w:eastAsia="宋体" w:cs="宋体"/>
          <w:color w:val="auto"/>
          <w:sz w:val="24"/>
          <w:szCs w:val="24"/>
          <w:highlight w:val="none"/>
          <w:lang w:eastAsia="zh-CN"/>
        </w:rPr>
        <w:t>供应商不可参加后续评审</w:t>
      </w:r>
      <w:r>
        <w:rPr>
          <w:rFonts w:hint="eastAsia" w:ascii="宋体" w:hAnsi="宋体" w:eastAsia="宋体" w:cs="宋体"/>
          <w:color w:val="auto"/>
          <w:sz w:val="24"/>
          <w:szCs w:val="24"/>
          <w:highlight w:val="none"/>
        </w:rPr>
        <w:t>。</w:t>
      </w:r>
    </w:p>
    <w:p w14:paraId="39530F62">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根据评审时“信用中国”网站(www.creditchina.gov.cn)的信息，对列入失信被执行人、重大税收违法案件当事人名单的供应商，拒绝其参与采购活动。两个以上的自然人、法人或者其他组织组成一个联合体，以一个</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的身份共同参加采购活动的，应当对所有联合体成员进行信用记录查询，联合体成员之一存在不良信用记录的，视同联合体存在不良信用记录。</w:t>
      </w:r>
    </w:p>
    <w:p w14:paraId="025F051C">
      <w:pPr>
        <w:spacing w:line="360" w:lineRule="auto"/>
        <w:ind w:firstLine="435"/>
        <w:rPr>
          <w:rFonts w:hint="eastAsia" w:ascii="宋体" w:hAnsi="宋体" w:eastAsia="宋体" w:cs="宋体"/>
          <w:strike/>
          <w:dstrike w:val="0"/>
          <w:color w:val="auto"/>
          <w:sz w:val="24"/>
          <w:szCs w:val="24"/>
          <w:highlight w:val="none"/>
          <w:lang w:val="en-US" w:eastAsia="zh-CN"/>
        </w:rPr>
      </w:pPr>
      <w:r>
        <w:rPr>
          <w:rFonts w:hint="eastAsia" w:ascii="宋体" w:hAnsi="宋体" w:cs="宋体"/>
          <w:strike w:val="0"/>
          <w:dstrike w:val="0"/>
          <w:color w:val="auto"/>
          <w:sz w:val="24"/>
          <w:highlight w:val="none"/>
          <w:lang w:eastAsia="zh-CN"/>
        </w:rPr>
        <w:t>评审小组</w:t>
      </w:r>
      <w:r>
        <w:rPr>
          <w:rFonts w:hint="eastAsia" w:ascii="宋体" w:hAnsi="宋体" w:eastAsia="宋体" w:cs="宋体"/>
          <w:strike w:val="0"/>
          <w:dstrike w:val="0"/>
          <w:color w:val="auto"/>
          <w:sz w:val="24"/>
          <w:highlight w:val="none"/>
        </w:rPr>
        <w:t>对供应商必须满足和实质性响应的内容进行评审，供应商未实质性响应</w:t>
      </w:r>
      <w:r>
        <w:rPr>
          <w:rFonts w:hint="eastAsia" w:ascii="宋体" w:hAnsi="宋体" w:cs="宋体"/>
          <w:strike w:val="0"/>
          <w:dstrike w:val="0"/>
          <w:color w:val="auto"/>
          <w:sz w:val="24"/>
          <w:highlight w:val="none"/>
          <w:lang w:eastAsia="zh-CN"/>
        </w:rPr>
        <w:t>发包文件</w:t>
      </w:r>
      <w:r>
        <w:rPr>
          <w:rFonts w:hint="eastAsia" w:ascii="宋体" w:hAnsi="宋体" w:eastAsia="宋体" w:cs="宋体"/>
          <w:strike w:val="0"/>
          <w:dstrike w:val="0"/>
          <w:color w:val="auto"/>
          <w:sz w:val="24"/>
          <w:highlight w:val="none"/>
        </w:rPr>
        <w:t>要求导致响应无效的，</w:t>
      </w:r>
      <w:r>
        <w:rPr>
          <w:rFonts w:hint="eastAsia" w:ascii="宋体" w:hAnsi="宋体" w:eastAsia="宋体" w:cs="宋体"/>
          <w:strike w:val="0"/>
          <w:dstrike w:val="0"/>
          <w:color w:val="auto"/>
          <w:sz w:val="24"/>
          <w:highlight w:val="none"/>
          <w:lang w:val="en-US" w:eastAsia="zh-CN"/>
        </w:rPr>
        <w:t>不得进入后续评审环节。</w:t>
      </w:r>
    </w:p>
    <w:p w14:paraId="44837AA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14.3.2</w:t>
      </w:r>
      <w:r>
        <w:rPr>
          <w:rFonts w:hint="eastAsia" w:ascii="宋体" w:hAnsi="宋体" w:cs="宋体"/>
          <w:b/>
          <w:color w:val="auto"/>
          <w:sz w:val="24"/>
          <w:highlight w:val="none"/>
          <w:lang w:val="en-US" w:eastAsia="zh-CN"/>
        </w:rPr>
        <w:t>评审</w:t>
      </w:r>
      <w:r>
        <w:rPr>
          <w:rFonts w:hint="eastAsia" w:ascii="宋体" w:hAnsi="宋体" w:eastAsia="宋体" w:cs="宋体"/>
          <w:color w:val="auto"/>
          <w:sz w:val="24"/>
          <w:highlight w:val="none"/>
        </w:rPr>
        <w:t>。初审合格后，</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将</w:t>
      </w:r>
      <w:r>
        <w:rPr>
          <w:rFonts w:hint="eastAsia" w:ascii="宋体" w:hAnsi="宋体" w:cs="宋体"/>
          <w:color w:val="auto"/>
          <w:sz w:val="24"/>
          <w:highlight w:val="none"/>
          <w:lang w:val="en-US" w:eastAsia="zh-CN"/>
        </w:rPr>
        <w:t>对</w:t>
      </w:r>
      <w:r>
        <w:rPr>
          <w:rFonts w:hint="eastAsia" w:ascii="宋体" w:hAnsi="宋体" w:eastAsia="宋体" w:cs="宋体"/>
          <w:color w:val="auto"/>
          <w:sz w:val="24"/>
          <w:highlight w:val="none"/>
        </w:rPr>
        <w:t>供应商分别进行</w:t>
      </w:r>
      <w:r>
        <w:rPr>
          <w:rFonts w:hint="eastAsia" w:ascii="宋体" w:hAnsi="宋体" w:cs="宋体"/>
          <w:color w:val="auto"/>
          <w:sz w:val="24"/>
          <w:highlight w:val="none"/>
          <w:lang w:val="en-US" w:eastAsia="zh-CN"/>
        </w:rPr>
        <w:t>技术评审</w:t>
      </w:r>
      <w:r>
        <w:rPr>
          <w:rFonts w:hint="eastAsia" w:ascii="宋体" w:hAnsi="宋体" w:eastAsia="宋体" w:cs="宋体"/>
          <w:color w:val="auto"/>
          <w:sz w:val="24"/>
          <w:highlight w:val="none"/>
        </w:rPr>
        <w:t>。</w:t>
      </w:r>
    </w:p>
    <w:p w14:paraId="632B608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14.3.3</w:t>
      </w:r>
      <w:r>
        <w:rPr>
          <w:rFonts w:hint="eastAsia" w:ascii="宋体" w:hAnsi="宋体" w:eastAsia="宋体" w:cs="宋体"/>
          <w:b/>
          <w:color w:val="auto"/>
          <w:sz w:val="24"/>
          <w:highlight w:val="none"/>
        </w:rPr>
        <w:t>报价</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报价是供应商响应文件的有效组成部分，供应商未按要求在规定时间内进行最后报价的，属于响应文件有效组成部分缺失，</w:t>
      </w:r>
      <w:r>
        <w:rPr>
          <w:rFonts w:hint="eastAsia" w:ascii="宋体" w:hAnsi="宋体" w:eastAsia="宋体" w:cs="宋体"/>
          <w:color w:val="auto"/>
          <w:sz w:val="24"/>
          <w:highlight w:val="none"/>
        </w:rPr>
        <w:t>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1DE0BBC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14.3.4</w:t>
      </w:r>
      <w:r>
        <w:rPr>
          <w:rFonts w:hint="eastAsia" w:ascii="宋体" w:hAnsi="宋体" w:eastAsia="宋体" w:cs="宋体"/>
          <w:b/>
          <w:color w:val="auto"/>
          <w:sz w:val="24"/>
          <w:highlight w:val="none"/>
        </w:rPr>
        <w:t>综合评分</w:t>
      </w: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只对通过初审，实质上响应</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要求的响应文件和报价进行综合评分。</w:t>
      </w:r>
    </w:p>
    <w:p w14:paraId="1E4AF11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14.4相关说明。</w:t>
      </w:r>
    </w:p>
    <w:p w14:paraId="44EAF63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14.4.1为保证</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活动顺利进行，供应商</w:t>
      </w:r>
      <w:r>
        <w:rPr>
          <w:rFonts w:hint="eastAsia" w:ascii="宋体" w:hAnsi="宋体" w:eastAsia="宋体" w:cs="宋体"/>
          <w:color w:val="auto"/>
          <w:sz w:val="24"/>
          <w:highlight w:val="none"/>
          <w:lang w:val="en-US" w:eastAsia="zh-CN"/>
        </w:rPr>
        <w:t>须对</w:t>
      </w:r>
      <w:r>
        <w:rPr>
          <w:rFonts w:hint="eastAsia" w:ascii="宋体" w:hAnsi="宋体" w:cs="宋体"/>
          <w:color w:val="auto"/>
          <w:sz w:val="24"/>
          <w:highlight w:val="none"/>
          <w:lang w:val="en-US" w:eastAsia="zh-CN"/>
        </w:rPr>
        <w:t>评审小组</w:t>
      </w:r>
      <w:r>
        <w:rPr>
          <w:rFonts w:hint="eastAsia" w:ascii="宋体" w:hAnsi="宋体" w:eastAsia="宋体" w:cs="宋体"/>
          <w:color w:val="auto"/>
          <w:sz w:val="24"/>
          <w:highlight w:val="none"/>
          <w:lang w:val="en-US" w:eastAsia="zh-CN"/>
        </w:rPr>
        <w:t>提出的询标内容</w:t>
      </w:r>
      <w:r>
        <w:rPr>
          <w:rFonts w:hint="eastAsia" w:ascii="宋体" w:hAnsi="宋体" w:eastAsia="宋体" w:cs="宋体"/>
          <w:color w:val="auto"/>
          <w:sz w:val="24"/>
          <w:highlight w:val="none"/>
        </w:rPr>
        <w:t>进行答疑；供应商必须在规定的时间内将自己在</w:t>
      </w:r>
      <w:r>
        <w:rPr>
          <w:rFonts w:hint="eastAsia" w:ascii="宋体" w:hAnsi="宋体" w:cs="宋体"/>
          <w:color w:val="auto"/>
          <w:sz w:val="24"/>
          <w:highlight w:val="none"/>
          <w:lang w:val="en-US" w:eastAsia="zh-CN"/>
        </w:rPr>
        <w:t>评审阶段</w:t>
      </w:r>
      <w:r>
        <w:rPr>
          <w:rFonts w:hint="eastAsia" w:ascii="宋体" w:hAnsi="宋体" w:eastAsia="宋体" w:cs="宋体"/>
          <w:color w:val="auto"/>
          <w:sz w:val="24"/>
          <w:highlight w:val="none"/>
        </w:rPr>
        <w:t>作出的澄清、变动，经</w:t>
      </w:r>
      <w:r>
        <w:rPr>
          <w:rFonts w:hint="eastAsia" w:ascii="宋体" w:hAnsi="宋体" w:eastAsia="宋体" w:cs="宋体"/>
          <w:color w:val="auto"/>
          <w:sz w:val="24"/>
          <w:highlight w:val="none"/>
          <w:lang w:val="en-US" w:eastAsia="zh-CN"/>
        </w:rPr>
        <w:t>签字盖章</w:t>
      </w:r>
      <w:r>
        <w:rPr>
          <w:rFonts w:hint="eastAsia" w:ascii="宋体" w:hAnsi="宋体" w:eastAsia="宋体" w:cs="宋体"/>
          <w:color w:val="auto"/>
          <w:sz w:val="24"/>
          <w:highlight w:val="none"/>
        </w:rPr>
        <w:t>后，</w:t>
      </w:r>
      <w:r>
        <w:rPr>
          <w:rFonts w:hint="eastAsia" w:ascii="宋体" w:hAnsi="宋体" w:eastAsia="宋体" w:cs="宋体"/>
          <w:color w:val="auto"/>
          <w:sz w:val="24"/>
          <w:highlight w:val="none"/>
          <w:lang w:val="en-US" w:eastAsia="zh-CN"/>
        </w:rPr>
        <w:t>现场</w:t>
      </w:r>
      <w:r>
        <w:rPr>
          <w:rFonts w:hint="eastAsia" w:ascii="宋体" w:hAnsi="宋体" w:eastAsia="宋体" w:cs="宋体"/>
          <w:color w:val="auto"/>
          <w:sz w:val="24"/>
          <w:highlight w:val="none"/>
        </w:rPr>
        <w:t>提交给</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w:t>
      </w:r>
    </w:p>
    <w:p w14:paraId="4B1F78D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14.4.2</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根据与供应商</w:t>
      </w:r>
      <w:r>
        <w:rPr>
          <w:rFonts w:hint="eastAsia" w:ascii="宋体" w:hAnsi="宋体" w:cs="宋体"/>
          <w:color w:val="auto"/>
          <w:sz w:val="24"/>
          <w:highlight w:val="none"/>
          <w:lang w:val="en-US" w:eastAsia="zh-CN"/>
        </w:rPr>
        <w:t>澄清</w:t>
      </w:r>
      <w:r>
        <w:rPr>
          <w:rFonts w:hint="eastAsia" w:ascii="宋体" w:hAnsi="宋体" w:eastAsia="宋体" w:cs="宋体"/>
          <w:color w:val="auto"/>
          <w:sz w:val="24"/>
          <w:highlight w:val="none"/>
        </w:rPr>
        <w:t>情况可能实质性变动</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的内容，包括采购需求中的技术、服务要求以及合同草案条款。</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有实质性变动的，经</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代表确认作为</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的有效组成部分，</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将以书面形式通知所有参加</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的供应商。</w:t>
      </w:r>
    </w:p>
    <w:p w14:paraId="6696BAE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14.4.3</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决定响应文件的响应性及符合性只根据响应文件本身的内容，而不寻求其他外部证据。</w:t>
      </w:r>
    </w:p>
    <w:p w14:paraId="5D83108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14.5供应商授权代表对</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过程有</w:t>
      </w:r>
      <w:r>
        <w:rPr>
          <w:rFonts w:hint="eastAsia" w:ascii="宋体" w:hAnsi="宋体" w:eastAsia="宋体" w:cs="宋体"/>
          <w:color w:val="auto"/>
          <w:sz w:val="24"/>
          <w:highlight w:val="none"/>
          <w:lang w:val="en-US" w:eastAsia="zh-CN"/>
        </w:rPr>
        <w:t>异议</w:t>
      </w:r>
      <w:r>
        <w:rPr>
          <w:rFonts w:hint="eastAsia" w:ascii="宋体" w:hAnsi="宋体" w:eastAsia="宋体" w:cs="宋体"/>
          <w:color w:val="auto"/>
          <w:sz w:val="24"/>
          <w:highlight w:val="none"/>
        </w:rPr>
        <w:t>，以及认为</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 xml:space="preserve">相关工作人员有需要回避的情形的，应当场提出询问或者回避申请，并说明理由。 </w:t>
      </w:r>
    </w:p>
    <w:p w14:paraId="05E8724E">
      <w:pPr>
        <w:spacing w:line="360" w:lineRule="auto"/>
        <w:ind w:firstLine="437"/>
        <w:outlineLvl w:val="2"/>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rPr>
        <w:t>15.终止</w:t>
      </w:r>
      <w:r>
        <w:rPr>
          <w:rFonts w:hint="eastAsia" w:ascii="宋体" w:hAnsi="宋体" w:cs="宋体"/>
          <w:b/>
          <w:color w:val="auto"/>
          <w:sz w:val="24"/>
          <w:highlight w:val="none"/>
          <w:lang w:eastAsia="zh-CN"/>
        </w:rPr>
        <w:t>发包</w:t>
      </w:r>
    </w:p>
    <w:p w14:paraId="51B553F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15.1出现下列情况之一时，</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和</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有权宣布终止</w:t>
      </w:r>
      <w:r>
        <w:rPr>
          <w:rFonts w:hint="eastAsia" w:ascii="宋体" w:hAnsi="宋体" w:cs="宋体"/>
          <w:color w:val="auto"/>
          <w:sz w:val="24"/>
          <w:highlight w:val="none"/>
          <w:lang w:eastAsia="zh-CN"/>
        </w:rPr>
        <w:t>发包</w:t>
      </w:r>
      <w:r>
        <w:rPr>
          <w:rFonts w:hint="eastAsia" w:ascii="宋体" w:hAnsi="宋体" w:eastAsia="宋体" w:cs="宋体"/>
          <w:color w:val="auto"/>
          <w:sz w:val="24"/>
          <w:highlight w:val="none"/>
        </w:rPr>
        <w:t>采购，并将理由通知所有供应商：</w:t>
      </w:r>
    </w:p>
    <w:p w14:paraId="0F2C372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（1）有效供应商数量不足，导致本次</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缺乏竞争的；</w:t>
      </w:r>
    </w:p>
    <w:p w14:paraId="1799515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（2）出现影响采购公正的违法、违规行为的；</w:t>
      </w:r>
    </w:p>
    <w:p w14:paraId="1388E58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（3）因重大变故，采购任务取消的；</w:t>
      </w:r>
    </w:p>
    <w:p w14:paraId="6C5A4F04">
      <w:pPr>
        <w:spacing w:line="360" w:lineRule="auto"/>
        <w:ind w:firstLine="437"/>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（4）法律法规规定的其他情形。</w:t>
      </w:r>
    </w:p>
    <w:p w14:paraId="4312BA87">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16.响应文件的澄清、说明或更正</w:t>
      </w:r>
    </w:p>
    <w:p w14:paraId="6848C913">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rPr>
        <w:t>16.1</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5BC95A7D">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rPr>
        <w:t>16.2</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要求供应商澄清、说明或者更正响应文件应当以书面形式（询标）作出。供应商的澄清、说明或者更正应当由法定代表人或其授权代表签字或者加盖公章（电子签章）。</w:t>
      </w:r>
    </w:p>
    <w:p w14:paraId="3532DD7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各供应商在项目开标、评标（审）期间应保持通</w:t>
      </w:r>
      <w:r>
        <w:rPr>
          <w:rFonts w:hint="eastAsia" w:ascii="宋体" w:hAnsi="宋体" w:eastAsia="宋体" w:cs="宋体"/>
          <w:b/>
          <w:color w:val="auto"/>
          <w:sz w:val="24"/>
          <w:highlight w:val="none"/>
          <w:lang w:val="en-US" w:eastAsia="zh-CN"/>
        </w:rPr>
        <w:t>信</w:t>
      </w:r>
      <w:r>
        <w:rPr>
          <w:rFonts w:hint="eastAsia" w:ascii="宋体" w:hAnsi="宋体" w:eastAsia="宋体" w:cs="宋体"/>
          <w:b/>
          <w:color w:val="auto"/>
          <w:sz w:val="24"/>
          <w:highlight w:val="none"/>
        </w:rPr>
        <w:t>畅通，随时接受</w:t>
      </w:r>
      <w:r>
        <w:rPr>
          <w:rFonts w:hint="eastAsia" w:ascii="宋体" w:hAnsi="宋体" w:cs="宋体"/>
          <w:b/>
          <w:color w:val="auto"/>
          <w:sz w:val="24"/>
          <w:highlight w:val="none"/>
          <w:lang w:eastAsia="zh-CN"/>
        </w:rPr>
        <w:t>评审小组</w:t>
      </w:r>
      <w:r>
        <w:rPr>
          <w:rFonts w:hint="eastAsia" w:ascii="宋体" w:hAnsi="宋体" w:eastAsia="宋体" w:cs="宋体"/>
          <w:b/>
          <w:color w:val="auto"/>
          <w:sz w:val="24"/>
          <w:highlight w:val="none"/>
        </w:rPr>
        <w:t>发出的询标信息，并在规定时间内答复，未能按时答复的，</w:t>
      </w:r>
      <w:r>
        <w:rPr>
          <w:rFonts w:hint="eastAsia" w:ascii="宋体" w:hAnsi="宋体" w:cs="宋体"/>
          <w:b/>
          <w:color w:val="auto"/>
          <w:sz w:val="24"/>
          <w:highlight w:val="none"/>
          <w:lang w:eastAsia="zh-CN"/>
        </w:rPr>
        <w:t>评审小组</w:t>
      </w:r>
      <w:r>
        <w:rPr>
          <w:rFonts w:hint="eastAsia" w:ascii="宋体" w:hAnsi="宋体" w:eastAsia="宋体" w:cs="宋体"/>
          <w:b/>
          <w:color w:val="auto"/>
          <w:sz w:val="24"/>
          <w:highlight w:val="none"/>
        </w:rPr>
        <w:t>将视同其放弃澄清。</w:t>
      </w:r>
    </w:p>
    <w:p w14:paraId="6D37E066">
      <w:pPr>
        <w:spacing w:line="360" w:lineRule="auto"/>
        <w:ind w:firstLine="482" w:firstLineChars="200"/>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cs="宋体"/>
          <w:b/>
          <w:color w:val="auto"/>
          <w:sz w:val="24"/>
          <w:highlight w:val="none"/>
          <w:lang w:val="en-US" w:eastAsia="zh-CN"/>
        </w:rPr>
        <w:t>7</w:t>
      </w:r>
      <w:r>
        <w:rPr>
          <w:rFonts w:hint="eastAsia" w:ascii="宋体" w:hAnsi="宋体" w:eastAsia="宋体" w:cs="宋体"/>
          <w:b/>
          <w:color w:val="auto"/>
          <w:sz w:val="24"/>
          <w:highlight w:val="none"/>
        </w:rPr>
        <w:t>.成交候选供应商的推荐原则及标准</w:t>
      </w:r>
    </w:p>
    <w:p w14:paraId="274CD37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.1</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依据本项目</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所约定的评审方法和标准，按照有效供应商综合总得分由高到低依次推荐成交候选供应商。综合总得分出现两家或两家以上相同者，按最后报价由低到高排序推荐成交候选供应商；综合总得分且最后报价均相同的，由</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按照技术指标优劣顺序推荐成交候选供应商。</w:t>
      </w:r>
      <w:r>
        <w:rPr>
          <w:rFonts w:hint="eastAsia" w:ascii="宋体" w:hAnsi="宋体" w:eastAsia="宋体" w:cs="宋体"/>
          <w:color w:val="auto"/>
          <w:sz w:val="24"/>
          <w:highlight w:val="none"/>
          <w:lang w:val="en-US" w:eastAsia="zh-CN"/>
        </w:rPr>
        <w:t>以上情况均相同的</w:t>
      </w:r>
      <w:r>
        <w:rPr>
          <w:rFonts w:hint="eastAsia" w:ascii="宋体" w:hAnsi="宋体" w:eastAsia="宋体" w:cs="宋体"/>
          <w:color w:val="auto"/>
          <w:sz w:val="24"/>
          <w:highlight w:val="none"/>
        </w:rPr>
        <w:t>，则由</w:t>
      </w:r>
      <w:r>
        <w:rPr>
          <w:rFonts w:hint="eastAsia" w:ascii="宋体" w:hAnsi="宋体" w:cs="宋体"/>
          <w:color w:val="auto"/>
          <w:sz w:val="24"/>
          <w:highlight w:val="none"/>
          <w:lang w:val="en-US" w:eastAsia="zh-CN"/>
        </w:rPr>
        <w:t>评审小组</w:t>
      </w:r>
      <w:r>
        <w:rPr>
          <w:rFonts w:hint="eastAsia" w:ascii="宋体" w:hAnsi="宋体" w:eastAsia="宋体" w:cs="宋体"/>
          <w:color w:val="auto"/>
          <w:sz w:val="24"/>
          <w:highlight w:val="none"/>
        </w:rPr>
        <w:t>采取随机抽取方式确定。</w:t>
      </w:r>
    </w:p>
    <w:p w14:paraId="3763C6FD">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cs="宋体"/>
          <w:b/>
          <w:color w:val="auto"/>
          <w:sz w:val="24"/>
          <w:highlight w:val="none"/>
          <w:lang w:val="en-US" w:eastAsia="zh-CN"/>
        </w:rPr>
        <w:t>8</w:t>
      </w:r>
      <w:r>
        <w:rPr>
          <w:rFonts w:hint="eastAsia" w:ascii="宋体" w:hAnsi="宋体" w:eastAsia="宋体" w:cs="宋体"/>
          <w:b/>
          <w:color w:val="auto"/>
          <w:sz w:val="24"/>
          <w:highlight w:val="none"/>
        </w:rPr>
        <w:t>.确定成交候选供应商和成交供应商</w:t>
      </w:r>
    </w:p>
    <w:p w14:paraId="660DF2A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.1</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根据综合评分的结果和</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中规定确定成交候选供应商，并标明排列顺序。按</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中规定，由</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或</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确定成交供应商。</w:t>
      </w:r>
    </w:p>
    <w:p w14:paraId="434BCD80">
      <w:pPr>
        <w:spacing w:line="360" w:lineRule="auto"/>
        <w:ind w:firstLine="437"/>
        <w:outlineLvl w:val="2"/>
        <w:rPr>
          <w:rFonts w:hint="eastAsia" w:ascii="宋体" w:hAnsi="宋体" w:eastAsia="宋体" w:cs="宋体"/>
          <w:b/>
          <w:color w:val="auto"/>
          <w:sz w:val="24"/>
          <w:highlight w:val="none"/>
        </w:rPr>
      </w:pPr>
      <w:r>
        <w:rPr>
          <w:rFonts w:hint="eastAsia" w:ascii="宋体" w:hAnsi="宋体" w:cs="宋体"/>
          <w:b/>
          <w:color w:val="auto"/>
          <w:sz w:val="24"/>
          <w:highlight w:val="none"/>
          <w:lang w:val="en-US" w:eastAsia="zh-CN"/>
        </w:rPr>
        <w:t>19</w:t>
      </w:r>
      <w:r>
        <w:rPr>
          <w:rFonts w:hint="eastAsia" w:ascii="宋体" w:hAnsi="宋体" w:eastAsia="宋体" w:cs="宋体"/>
          <w:b/>
          <w:color w:val="auto"/>
          <w:sz w:val="24"/>
          <w:highlight w:val="none"/>
        </w:rPr>
        <w:t>.编写评审报告</w:t>
      </w:r>
    </w:p>
    <w:p w14:paraId="2CD248AF">
      <w:pPr>
        <w:spacing w:line="360" w:lineRule="auto"/>
        <w:ind w:firstLine="435"/>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19</w:t>
      </w:r>
      <w:r>
        <w:rPr>
          <w:rFonts w:hint="eastAsia" w:ascii="宋体" w:hAnsi="宋体" w:eastAsia="宋体" w:cs="宋体"/>
          <w:color w:val="auto"/>
          <w:sz w:val="24"/>
          <w:highlight w:val="none"/>
        </w:rPr>
        <w:t>.1评审报告是根据全体</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成员签字的原始评审记录和评审结果编写的报告，评审报告由</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全体成员签字。对评审结论持有异议的</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成员可以书面方式阐述其不同意见和理由。</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成员拒绝在评审报告上签字且不陈述其不同意见和理由的，视为同意评审结论。</w:t>
      </w:r>
    </w:p>
    <w:p w14:paraId="1622CAB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cs="宋体"/>
          <w:b/>
          <w:color w:val="auto"/>
          <w:sz w:val="24"/>
          <w:highlight w:val="none"/>
          <w:lang w:val="en-US" w:eastAsia="zh-CN"/>
        </w:rPr>
        <w:t>0</w:t>
      </w:r>
      <w:r>
        <w:rPr>
          <w:rFonts w:hint="eastAsia" w:ascii="宋体" w:hAnsi="宋体" w:eastAsia="宋体" w:cs="宋体"/>
          <w:b/>
          <w:color w:val="auto"/>
          <w:sz w:val="24"/>
          <w:highlight w:val="none"/>
        </w:rPr>
        <w:t>.保密要求</w:t>
      </w:r>
    </w:p>
    <w:p w14:paraId="0C37C61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0</w:t>
      </w:r>
      <w:r>
        <w:rPr>
          <w:rFonts w:hint="eastAsia" w:ascii="宋体" w:hAnsi="宋体" w:eastAsia="宋体" w:cs="宋体"/>
          <w:color w:val="auto"/>
          <w:sz w:val="24"/>
          <w:highlight w:val="none"/>
        </w:rPr>
        <w:t>.1评审将在严格保密的情况下进行。</w:t>
      </w:r>
    </w:p>
    <w:p w14:paraId="72B1687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0</w:t>
      </w:r>
      <w:r>
        <w:rPr>
          <w:rFonts w:hint="eastAsia" w:ascii="宋体" w:hAnsi="宋体" w:eastAsia="宋体" w:cs="宋体"/>
          <w:color w:val="auto"/>
          <w:sz w:val="24"/>
          <w:highlight w:val="none"/>
        </w:rPr>
        <w:t>.2有关人员应当遵守评审工作纪律，不得泄露评审文件、评审情况和评审中获悉的国家秘密、商业秘密。</w:t>
      </w:r>
    </w:p>
    <w:p w14:paraId="43A9BFC5">
      <w:pPr>
        <w:spacing w:line="360" w:lineRule="auto"/>
        <w:ind w:firstLine="437"/>
        <w:outlineLvl w:val="2"/>
        <w:rPr>
          <w:rFonts w:hint="eastAsia" w:ascii="宋体" w:hAnsi="宋体" w:eastAsia="宋体" w:cs="宋体"/>
          <w:b/>
          <w:color w:val="auto"/>
          <w:sz w:val="24"/>
          <w:highlight w:val="none"/>
        </w:rPr>
      </w:pPr>
      <w:r>
        <w:rPr>
          <w:rFonts w:hint="eastAsia" w:ascii="宋体" w:hAnsi="宋体" w:cs="宋体"/>
          <w:b/>
          <w:color w:val="auto"/>
          <w:sz w:val="24"/>
          <w:highlight w:val="none"/>
          <w:lang w:val="en-US" w:eastAsia="zh-CN"/>
        </w:rPr>
        <w:t>21</w:t>
      </w:r>
      <w:r>
        <w:rPr>
          <w:rFonts w:hint="eastAsia" w:ascii="宋体" w:hAnsi="宋体" w:eastAsia="宋体" w:cs="宋体"/>
          <w:b/>
          <w:color w:val="auto"/>
          <w:sz w:val="24"/>
          <w:highlight w:val="none"/>
        </w:rPr>
        <w:t>.成交结果公告</w:t>
      </w:r>
    </w:p>
    <w:p w14:paraId="1A59138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结束后，</w:t>
      </w:r>
      <w:r>
        <w:rPr>
          <w:rFonts w:hint="eastAsia" w:ascii="宋体" w:hAnsi="宋体" w:cs="宋体"/>
          <w:color w:val="auto"/>
          <w:sz w:val="24"/>
          <w:highlight w:val="none"/>
          <w:lang w:val="en-US" w:eastAsia="zh-CN"/>
        </w:rPr>
        <w:t>发包人</w:t>
      </w:r>
      <w:r>
        <w:rPr>
          <w:rFonts w:hint="eastAsia" w:ascii="宋体" w:hAnsi="宋体" w:eastAsia="宋体" w:cs="宋体"/>
          <w:color w:val="auto"/>
          <w:sz w:val="24"/>
          <w:highlight w:val="none"/>
          <w:lang w:val="en-US" w:eastAsia="zh-CN"/>
        </w:rPr>
        <w:t>及</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将</w:t>
      </w:r>
      <w:r>
        <w:rPr>
          <w:rFonts w:hint="eastAsia" w:ascii="宋体" w:hAnsi="宋体" w:eastAsia="宋体" w:cs="宋体"/>
          <w:color w:val="auto"/>
          <w:sz w:val="24"/>
          <w:szCs w:val="18"/>
          <w:highlight w:val="none"/>
        </w:rPr>
        <w:t>在</w:t>
      </w:r>
      <w:r>
        <w:rPr>
          <w:rFonts w:hint="eastAsia" w:ascii="宋体" w:hAnsi="宋体" w:eastAsia="宋体" w:cs="宋体"/>
          <w:color w:val="auto"/>
          <w:sz w:val="24"/>
          <w:szCs w:val="18"/>
          <w:highlight w:val="none"/>
          <w:lang w:val="en-US" w:eastAsia="zh-CN"/>
        </w:rPr>
        <w:t>网站</w:t>
      </w:r>
      <w:r>
        <w:rPr>
          <w:rFonts w:hint="eastAsia" w:ascii="宋体" w:hAnsi="宋体" w:eastAsia="宋体" w:cs="宋体"/>
          <w:color w:val="auto"/>
          <w:sz w:val="24"/>
          <w:szCs w:val="18"/>
          <w:highlight w:val="none"/>
        </w:rPr>
        <w:t>上</w:t>
      </w:r>
      <w:r>
        <w:rPr>
          <w:rFonts w:hint="eastAsia" w:ascii="宋体" w:hAnsi="宋体" w:eastAsia="宋体" w:cs="宋体"/>
          <w:color w:val="auto"/>
          <w:sz w:val="24"/>
          <w:highlight w:val="none"/>
        </w:rPr>
        <w:t>发布成交结果公告。</w:t>
      </w:r>
    </w:p>
    <w:p w14:paraId="638F214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.2成交结果公告内容应当包括</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及其委托的</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的名称、地址、联系方式，项目名称和项目编号，成交供应商名称、地址和成交金额，成交结果公告期限</w:t>
      </w:r>
      <w:r>
        <w:rPr>
          <w:rFonts w:hint="eastAsia" w:ascii="宋体" w:hAnsi="宋体" w:eastAsia="宋体" w:cs="宋体"/>
          <w:color w:val="auto"/>
          <w:sz w:val="24"/>
          <w:highlight w:val="none"/>
          <w:lang w:val="en-US" w:eastAsia="zh-CN"/>
        </w:rPr>
        <w:t>等</w:t>
      </w:r>
      <w:r>
        <w:rPr>
          <w:rFonts w:hint="eastAsia" w:ascii="宋体" w:hAnsi="宋体" w:eastAsia="宋体" w:cs="宋体"/>
          <w:color w:val="auto"/>
          <w:sz w:val="24"/>
          <w:highlight w:val="none"/>
        </w:rPr>
        <w:t>内容。</w:t>
      </w:r>
    </w:p>
    <w:p w14:paraId="10181A03">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cs="宋体"/>
          <w:b/>
          <w:color w:val="auto"/>
          <w:sz w:val="24"/>
          <w:highlight w:val="none"/>
          <w:lang w:val="en-US" w:eastAsia="zh-CN"/>
        </w:rPr>
        <w:t>2</w:t>
      </w:r>
      <w:r>
        <w:rPr>
          <w:rFonts w:hint="eastAsia" w:ascii="宋体" w:hAnsi="宋体" w:eastAsia="宋体" w:cs="宋体"/>
          <w:b/>
          <w:color w:val="auto"/>
          <w:sz w:val="24"/>
          <w:highlight w:val="none"/>
        </w:rPr>
        <w:t>.成交通知书</w:t>
      </w:r>
    </w:p>
    <w:p w14:paraId="2C8E29A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.1</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发布成交结果公告的同时向成交供应商发出成交通知书。</w:t>
      </w:r>
    </w:p>
    <w:p w14:paraId="0D1E1B9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.2成交通知书对</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和成交供应商具有同等法律效力。成交通知书发出以后，</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改变成交结果或者成交供应商放弃成交资格，应当承担相应的法律责任。</w:t>
      </w:r>
    </w:p>
    <w:p w14:paraId="7067A0D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.3成交通知书是合同的组成部分。</w:t>
      </w:r>
    </w:p>
    <w:p w14:paraId="2B27AB6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cs="宋体"/>
          <w:b/>
          <w:color w:val="auto"/>
          <w:sz w:val="24"/>
          <w:highlight w:val="none"/>
          <w:lang w:val="en-US" w:eastAsia="zh-CN"/>
        </w:rPr>
        <w:t>3</w:t>
      </w:r>
      <w:r>
        <w:rPr>
          <w:rFonts w:hint="eastAsia" w:ascii="宋体" w:hAnsi="宋体" w:eastAsia="宋体" w:cs="宋体"/>
          <w:b/>
          <w:color w:val="auto"/>
          <w:sz w:val="24"/>
          <w:highlight w:val="none"/>
        </w:rPr>
        <w:t>.告知</w:t>
      </w:r>
      <w:r>
        <w:rPr>
          <w:rFonts w:hint="eastAsia" w:ascii="宋体" w:hAnsi="宋体" w:cs="宋体"/>
          <w:b/>
          <w:color w:val="auto"/>
          <w:sz w:val="24"/>
          <w:highlight w:val="none"/>
          <w:lang w:val="en-US" w:eastAsia="zh-CN"/>
        </w:rPr>
        <w:t>发包</w:t>
      </w:r>
      <w:r>
        <w:rPr>
          <w:rFonts w:hint="eastAsia" w:ascii="宋体" w:hAnsi="宋体" w:eastAsia="宋体" w:cs="宋体"/>
          <w:b/>
          <w:color w:val="auto"/>
          <w:sz w:val="24"/>
          <w:highlight w:val="none"/>
        </w:rPr>
        <w:t>结果</w:t>
      </w:r>
    </w:p>
    <w:p w14:paraId="0018BD7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.1在公告成交结果的同时，</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同时以</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规定的形式告知未成交供应商本人的评审得分和排序。</w:t>
      </w:r>
    </w:p>
    <w:p w14:paraId="7760978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.2</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对未成交的供应商不做未成交原因的解释。</w:t>
      </w:r>
    </w:p>
    <w:p w14:paraId="5FC44194">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cs="宋体"/>
          <w:b/>
          <w:color w:val="auto"/>
          <w:sz w:val="24"/>
          <w:highlight w:val="none"/>
          <w:lang w:val="en-US" w:eastAsia="zh-CN"/>
        </w:rPr>
        <w:t>4</w:t>
      </w:r>
      <w:r>
        <w:rPr>
          <w:rFonts w:hint="eastAsia" w:ascii="宋体" w:hAnsi="宋体" w:eastAsia="宋体" w:cs="宋体"/>
          <w:b/>
          <w:color w:val="auto"/>
          <w:sz w:val="24"/>
          <w:highlight w:val="none"/>
        </w:rPr>
        <w:t>.履约保证金</w:t>
      </w:r>
    </w:p>
    <w:p w14:paraId="65CC6BC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.1成交供应商应按照</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规定缴纳履约保证金。</w:t>
      </w:r>
    </w:p>
    <w:p w14:paraId="4ED9718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.2如果成交供应商没有按照上述履约保证金的规定执行，将视为放弃成交资格。在此情况下，</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可确定下一成交候选供应商为成交供应商，也可以重新开展采购活动。</w:t>
      </w:r>
    </w:p>
    <w:p w14:paraId="3C746036">
      <w:pPr>
        <w:spacing w:line="360" w:lineRule="auto"/>
        <w:ind w:firstLine="437"/>
        <w:outlineLvl w:val="2"/>
        <w:rPr>
          <w:rFonts w:hint="eastAsia" w:ascii="宋体" w:hAnsi="宋体" w:eastAsia="宋体" w:cs="宋体"/>
          <w:b/>
          <w:color w:val="auto"/>
          <w:sz w:val="24"/>
          <w:highlight w:val="none"/>
        </w:rPr>
      </w:pPr>
      <w:r>
        <w:rPr>
          <w:rFonts w:hint="eastAsia" w:ascii="宋体" w:hAnsi="宋体" w:cs="宋体"/>
          <w:b/>
          <w:color w:val="auto"/>
          <w:sz w:val="24"/>
          <w:highlight w:val="none"/>
          <w:lang w:val="en-US" w:eastAsia="zh-CN"/>
        </w:rPr>
        <w:t>25</w:t>
      </w:r>
      <w:r>
        <w:rPr>
          <w:rFonts w:hint="eastAsia" w:ascii="宋体" w:hAnsi="宋体" w:eastAsia="宋体" w:cs="宋体"/>
          <w:b/>
          <w:color w:val="auto"/>
          <w:sz w:val="24"/>
          <w:highlight w:val="none"/>
        </w:rPr>
        <w:t>.代理费用</w:t>
      </w:r>
    </w:p>
    <w:p w14:paraId="2D4E124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.1本项目代理费用的收取按</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的规定执行。</w:t>
      </w:r>
    </w:p>
    <w:p w14:paraId="6AADA247">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cs="宋体"/>
          <w:b/>
          <w:color w:val="auto"/>
          <w:sz w:val="24"/>
          <w:highlight w:val="none"/>
          <w:lang w:val="en-US" w:eastAsia="zh-CN"/>
        </w:rPr>
        <w:t>6</w:t>
      </w:r>
      <w:r>
        <w:rPr>
          <w:rFonts w:hint="eastAsia" w:ascii="宋体" w:hAnsi="宋体" w:eastAsia="宋体" w:cs="宋体"/>
          <w:b/>
          <w:color w:val="auto"/>
          <w:sz w:val="24"/>
          <w:highlight w:val="none"/>
        </w:rPr>
        <w:t>.签订合同</w:t>
      </w:r>
    </w:p>
    <w:p w14:paraId="7AFE1335">
      <w:pPr>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26.1</w:t>
      </w:r>
      <w:r>
        <w:rPr>
          <w:rFonts w:hint="eastAsia" w:ascii="宋体" w:hAnsi="宋体" w:eastAsia="宋体" w:cs="宋体"/>
          <w:color w:val="auto"/>
          <w:sz w:val="24"/>
          <w:highlight w:val="none"/>
        </w:rPr>
        <w:t>质疑期内如未接到</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的质疑和投诉，将向成交</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发出成交通知书。</w:t>
      </w:r>
    </w:p>
    <w:p w14:paraId="4A4E90A4">
      <w:pPr>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26.2</w:t>
      </w:r>
      <w:r>
        <w:rPr>
          <w:rFonts w:hint="eastAsia" w:ascii="宋体" w:hAnsi="宋体" w:eastAsia="宋体" w:cs="宋体"/>
          <w:color w:val="auto"/>
          <w:sz w:val="24"/>
          <w:highlight w:val="none"/>
        </w:rPr>
        <w:t>成交</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在成交通知书发出后7个工作日内与发包</w:t>
      </w:r>
      <w:r>
        <w:rPr>
          <w:rFonts w:hint="eastAsia" w:ascii="宋体" w:hAnsi="宋体" w:cs="宋体"/>
          <w:color w:val="auto"/>
          <w:sz w:val="24"/>
          <w:highlight w:val="none"/>
          <w:lang w:val="en-US" w:eastAsia="zh-CN"/>
        </w:rPr>
        <w:t>人</w:t>
      </w:r>
      <w:r>
        <w:rPr>
          <w:rFonts w:hint="eastAsia" w:ascii="宋体" w:hAnsi="宋体" w:eastAsia="宋体" w:cs="宋体"/>
          <w:color w:val="auto"/>
          <w:sz w:val="24"/>
          <w:highlight w:val="none"/>
        </w:rPr>
        <w:t>签订合同。发包文件、成交</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的响应文件及澄清文件等，均作为合同的附件。</w:t>
      </w:r>
    </w:p>
    <w:p w14:paraId="02D23BB8">
      <w:pPr>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26.3</w:t>
      </w:r>
      <w:r>
        <w:rPr>
          <w:rFonts w:hint="eastAsia" w:ascii="宋体" w:hAnsi="宋体" w:eastAsia="宋体" w:cs="宋体"/>
          <w:color w:val="auto"/>
          <w:sz w:val="24"/>
          <w:highlight w:val="none"/>
        </w:rPr>
        <w:t>成交</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因不可抗力或者自身原因不能在规定的时间内与发包人签订发包合同，发包人可以与排在成交</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后第一位的成交候选人签订发包合同，以此类推或重新组织发包。</w:t>
      </w:r>
    </w:p>
    <w:p w14:paraId="5E501E5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cs="宋体"/>
          <w:b/>
          <w:color w:val="auto"/>
          <w:sz w:val="24"/>
          <w:highlight w:val="none"/>
          <w:lang w:val="en-US" w:eastAsia="zh-CN"/>
        </w:rPr>
        <w:t>7</w:t>
      </w:r>
      <w:r>
        <w:rPr>
          <w:rFonts w:hint="eastAsia" w:ascii="宋体" w:hAnsi="宋体" w:eastAsia="宋体" w:cs="宋体"/>
          <w:b/>
          <w:color w:val="auto"/>
          <w:sz w:val="24"/>
          <w:highlight w:val="none"/>
        </w:rPr>
        <w:t>.澄清及变更</w:t>
      </w:r>
    </w:p>
    <w:p w14:paraId="2D24EBE2">
      <w:pPr>
        <w:spacing w:line="360" w:lineRule="auto"/>
        <w:ind w:firstLine="435"/>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27.1</w:t>
      </w:r>
      <w:r>
        <w:rPr>
          <w:rFonts w:hint="eastAsia" w:ascii="宋体" w:hAnsi="宋体" w:eastAsia="宋体" w:cs="宋体"/>
          <w:color w:val="auto"/>
          <w:sz w:val="24"/>
          <w:highlight w:val="none"/>
        </w:rPr>
        <w:t>发包文件如有澄清及变更，将以网上公告形式发布，请</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及时关注网上相关信息。</w:t>
      </w:r>
    </w:p>
    <w:p w14:paraId="31E45F80">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cs="宋体"/>
          <w:b/>
          <w:color w:val="auto"/>
          <w:sz w:val="24"/>
          <w:highlight w:val="none"/>
          <w:lang w:val="en-US" w:eastAsia="zh-CN"/>
        </w:rPr>
        <w:t>8</w:t>
      </w:r>
      <w:r>
        <w:rPr>
          <w:rFonts w:hint="eastAsia" w:ascii="宋体" w:hAnsi="宋体" w:eastAsia="宋体" w:cs="宋体"/>
          <w:b/>
          <w:color w:val="auto"/>
          <w:sz w:val="24"/>
          <w:highlight w:val="none"/>
        </w:rPr>
        <w:t>.质疑的提出与接收</w:t>
      </w:r>
    </w:p>
    <w:p w14:paraId="1B56AE1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.1供应商认为</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、采购过程和成交结果使自己的权益受到损害的，可以在知道或者应知其权益受到损害之日起七个工作日内，以书面形式向</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或其委托的</w:t>
      </w:r>
      <w:r>
        <w:rPr>
          <w:rFonts w:hint="eastAsia" w:ascii="宋体" w:hAnsi="宋体" w:cs="宋体"/>
          <w:color w:val="auto"/>
          <w:sz w:val="24"/>
          <w:highlight w:val="none"/>
          <w:lang w:eastAsia="zh-CN"/>
        </w:rPr>
        <w:t>代理机构</w:t>
      </w:r>
      <w:r>
        <w:rPr>
          <w:rFonts w:hint="eastAsia" w:ascii="宋体" w:hAnsi="宋体" w:eastAsia="宋体" w:cs="宋体"/>
          <w:color w:val="auto"/>
          <w:sz w:val="24"/>
          <w:highlight w:val="none"/>
        </w:rPr>
        <w:t>提出质疑。</w:t>
      </w:r>
    </w:p>
    <w:p w14:paraId="0BCEE71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.2质疑供应商应</w:t>
      </w:r>
      <w:r>
        <w:rPr>
          <w:rFonts w:hint="eastAsia" w:ascii="宋体" w:hAnsi="宋体" w:eastAsia="宋体" w:cs="宋体"/>
          <w:color w:val="auto"/>
          <w:sz w:val="24"/>
          <w:highlight w:val="none"/>
          <w:lang w:val="en-US" w:eastAsia="zh-CN"/>
        </w:rPr>
        <w:t>参照</w:t>
      </w:r>
      <w:r>
        <w:rPr>
          <w:rFonts w:hint="eastAsia" w:ascii="宋体" w:hAnsi="宋体" w:eastAsia="宋体" w:cs="宋体"/>
          <w:color w:val="auto"/>
          <w:sz w:val="24"/>
          <w:highlight w:val="none"/>
        </w:rPr>
        <w:t>财政部制定的《政府采购质疑函范本》格式</w:t>
      </w:r>
      <w:r>
        <w:rPr>
          <w:rFonts w:hint="eastAsia" w:ascii="宋体" w:hAnsi="宋体" w:eastAsia="宋体" w:cs="宋体"/>
          <w:color w:val="auto"/>
          <w:sz w:val="24"/>
          <w:highlight w:val="none"/>
          <w:lang w:val="en-US" w:eastAsia="zh-CN"/>
        </w:rPr>
        <w:t>和相关法律</w:t>
      </w:r>
      <w:r>
        <w:rPr>
          <w:rFonts w:hint="eastAsia" w:ascii="宋体" w:hAnsi="宋体" w:eastAsia="宋体" w:cs="宋体"/>
          <w:color w:val="auto"/>
          <w:sz w:val="24"/>
          <w:highlight w:val="none"/>
        </w:rPr>
        <w:t>要求，在法定质疑期内以书面形式提出质疑，超出法定质疑期提交的质疑将被拒绝。针对同一采购程序环节的质疑应一次性提出。</w:t>
      </w:r>
    </w:p>
    <w:p w14:paraId="3C3F5D9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.3质疑函</w:t>
      </w:r>
      <w:r>
        <w:rPr>
          <w:rFonts w:hint="eastAsia" w:ascii="宋体" w:hAnsi="宋体" w:eastAsia="宋体" w:cs="宋体"/>
          <w:color w:val="auto"/>
          <w:sz w:val="24"/>
          <w:highlight w:val="none"/>
          <w:lang w:val="en-US" w:eastAsia="zh-CN"/>
        </w:rPr>
        <w:t>递交方式</w:t>
      </w:r>
      <w:r>
        <w:rPr>
          <w:rFonts w:hint="eastAsia" w:ascii="宋体" w:hAnsi="宋体" w:eastAsia="宋体" w:cs="宋体"/>
          <w:color w:val="auto"/>
          <w:sz w:val="24"/>
          <w:highlight w:val="none"/>
        </w:rPr>
        <w:t>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63C3E51E">
      <w:pPr>
        <w:spacing w:line="360" w:lineRule="auto"/>
        <w:ind w:firstLine="437"/>
        <w:outlineLvl w:val="2"/>
        <w:rPr>
          <w:rFonts w:hint="eastAsia" w:ascii="宋体" w:hAnsi="宋体" w:eastAsia="宋体" w:cs="宋体"/>
          <w:b/>
          <w:color w:val="auto"/>
          <w:sz w:val="24"/>
          <w:highlight w:val="none"/>
        </w:rPr>
      </w:pPr>
      <w:r>
        <w:rPr>
          <w:rFonts w:hint="eastAsia" w:ascii="宋体" w:hAnsi="宋体" w:cs="宋体"/>
          <w:b/>
          <w:color w:val="auto"/>
          <w:sz w:val="24"/>
          <w:highlight w:val="none"/>
          <w:lang w:val="en-US" w:eastAsia="zh-CN"/>
        </w:rPr>
        <w:t>29</w:t>
      </w:r>
      <w:r>
        <w:rPr>
          <w:rFonts w:hint="eastAsia" w:ascii="宋体" w:hAnsi="宋体" w:eastAsia="宋体" w:cs="宋体"/>
          <w:b/>
          <w:color w:val="auto"/>
          <w:sz w:val="24"/>
          <w:highlight w:val="none"/>
          <w:lang w:val="en-US" w:eastAsia="zh-CN"/>
        </w:rPr>
        <w:t>.</w:t>
      </w:r>
      <w:r>
        <w:rPr>
          <w:rFonts w:hint="eastAsia" w:ascii="宋体" w:hAnsi="宋体" w:eastAsia="宋体" w:cs="宋体"/>
          <w:b/>
          <w:color w:val="auto"/>
          <w:sz w:val="24"/>
          <w:highlight w:val="none"/>
        </w:rPr>
        <w:t>需要补充的其他内容</w:t>
      </w:r>
    </w:p>
    <w:p w14:paraId="015FA0B4">
      <w:pPr>
        <w:spacing w:line="360" w:lineRule="auto"/>
        <w:ind w:firstLine="437"/>
        <w:outlineLvl w:val="2"/>
        <w:rPr>
          <w:rFonts w:hint="eastAsia" w:ascii="宋体" w:hAnsi="宋体" w:eastAsia="宋体" w:cs="宋体"/>
          <w:b/>
          <w:color w:val="auto"/>
          <w:sz w:val="28"/>
          <w:highlight w:val="none"/>
        </w:rPr>
      </w:pPr>
      <w:r>
        <w:rPr>
          <w:rFonts w:hint="eastAsia" w:ascii="宋体" w:hAnsi="宋体" w:eastAsia="宋体" w:cs="宋体"/>
          <w:color w:val="auto"/>
          <w:sz w:val="24"/>
          <w:highlight w:val="none"/>
        </w:rPr>
        <w:t>需要补充的其他内容，见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r>
        <w:rPr>
          <w:rFonts w:hint="eastAsia" w:ascii="宋体" w:hAnsi="宋体" w:eastAsia="宋体" w:cs="宋体"/>
          <w:color w:val="auto"/>
          <w:sz w:val="24"/>
          <w:highlight w:val="none"/>
        </w:rPr>
        <w:br w:type="page"/>
      </w:r>
    </w:p>
    <w:p w14:paraId="6D0D05A3">
      <w:pPr>
        <w:spacing w:line="360" w:lineRule="auto"/>
        <w:jc w:val="center"/>
        <w:outlineLvl w:val="0"/>
        <w:rPr>
          <w:rFonts w:hint="eastAsia" w:ascii="宋体" w:hAnsi="宋体" w:eastAsia="宋体" w:cs="宋体"/>
          <w:b/>
          <w:color w:val="auto"/>
          <w:sz w:val="28"/>
          <w:highlight w:val="none"/>
        </w:rPr>
      </w:pPr>
      <w:bookmarkStart w:id="70" w:name="_Toc19656"/>
      <w:r>
        <w:rPr>
          <w:rFonts w:hint="eastAsia" w:ascii="宋体" w:hAnsi="宋体" w:eastAsia="宋体" w:cs="宋体"/>
          <w:b/>
          <w:color w:val="auto"/>
          <w:sz w:val="28"/>
          <w:highlight w:val="none"/>
        </w:rPr>
        <w:t>第三章  采购需求</w:t>
      </w:r>
      <w:bookmarkEnd w:id="70"/>
    </w:p>
    <w:p w14:paraId="1E8EFB0F">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前注：</w:t>
      </w:r>
    </w:p>
    <w:p w14:paraId="262E40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本采购需求中提出的服务方案仅为参考，如无明确限制，供应商可以进行优化，提供满足</w:t>
      </w:r>
      <w:r>
        <w:rPr>
          <w:rFonts w:hint="eastAsia" w:ascii="宋体" w:hAnsi="宋体" w:cs="宋体"/>
          <w:color w:val="auto"/>
          <w:sz w:val="24"/>
          <w:szCs w:val="24"/>
          <w:highlight w:val="none"/>
          <w:lang w:eastAsia="zh-CN"/>
        </w:rPr>
        <w:t>发包人</w:t>
      </w:r>
      <w:r>
        <w:rPr>
          <w:rFonts w:hint="eastAsia" w:ascii="宋体" w:hAnsi="宋体" w:eastAsia="宋体" w:cs="宋体"/>
          <w:color w:val="auto"/>
          <w:sz w:val="24"/>
          <w:szCs w:val="24"/>
          <w:highlight w:val="none"/>
        </w:rPr>
        <w:t>实际需要的更优（或者性能实质上不低于的）服务方案，且此方案须经</w:t>
      </w:r>
      <w:r>
        <w:rPr>
          <w:rFonts w:hint="eastAsia" w:ascii="宋体" w:hAnsi="宋体" w:cs="宋体"/>
          <w:color w:val="auto"/>
          <w:sz w:val="24"/>
          <w:szCs w:val="24"/>
          <w:highlight w:val="none"/>
          <w:lang w:eastAsia="zh-CN"/>
        </w:rPr>
        <w:t>评审小组</w:t>
      </w:r>
      <w:r>
        <w:rPr>
          <w:rFonts w:hint="eastAsia" w:ascii="宋体" w:hAnsi="宋体" w:eastAsia="宋体" w:cs="宋体"/>
          <w:color w:val="auto"/>
          <w:sz w:val="24"/>
          <w:szCs w:val="24"/>
          <w:highlight w:val="none"/>
        </w:rPr>
        <w:t>评审认可。</w:t>
      </w:r>
    </w:p>
    <w:p w14:paraId="64E093B2">
      <w:pPr>
        <w:spacing w:line="360" w:lineRule="auto"/>
        <w:ind w:firstLine="437"/>
        <w:outlineLvl w:val="1"/>
        <w:rPr>
          <w:rFonts w:hint="eastAsia" w:ascii="宋体" w:hAnsi="宋体" w:eastAsia="宋体" w:cs="宋体"/>
          <w:b/>
          <w:color w:val="auto"/>
          <w:sz w:val="24"/>
          <w:szCs w:val="18"/>
          <w:highlight w:val="none"/>
        </w:rPr>
      </w:pPr>
      <w:bookmarkStart w:id="71" w:name="_Toc26349"/>
      <w:bookmarkStart w:id="72" w:name="_Toc7699"/>
      <w:bookmarkStart w:id="73" w:name="_Toc7805"/>
      <w:bookmarkStart w:id="74" w:name="_Toc1479"/>
      <w:r>
        <w:rPr>
          <w:rFonts w:hint="eastAsia" w:ascii="宋体" w:hAnsi="宋体" w:eastAsia="宋体" w:cs="宋体"/>
          <w:b/>
          <w:color w:val="auto"/>
          <w:sz w:val="24"/>
          <w:szCs w:val="18"/>
          <w:highlight w:val="none"/>
        </w:rPr>
        <w:t>一、采购需求前附表</w:t>
      </w:r>
      <w:bookmarkEnd w:id="71"/>
      <w:bookmarkEnd w:id="72"/>
      <w:bookmarkEnd w:id="73"/>
      <w:bookmarkEnd w:id="74"/>
    </w:p>
    <w:tbl>
      <w:tblPr>
        <w:tblStyle w:val="24"/>
        <w:tblW w:w="50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9" w:type="dxa"/>
          <w:bottom w:w="0" w:type="dxa"/>
          <w:right w:w="79" w:type="dxa"/>
        </w:tblCellMar>
      </w:tblPr>
      <w:tblGrid>
        <w:gridCol w:w="648"/>
        <w:gridCol w:w="1317"/>
        <w:gridCol w:w="6674"/>
      </w:tblGrid>
      <w:tr w14:paraId="7E21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87" w:hRule="atLeast"/>
          <w:jc w:val="center"/>
        </w:trPr>
        <w:tc>
          <w:tcPr>
            <w:tcW w:w="375" w:type="pct"/>
            <w:vAlign w:val="center"/>
          </w:tcPr>
          <w:p w14:paraId="476A2B3F">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
                <w:color w:val="auto"/>
                <w:kern w:val="2"/>
                <w:highlight w:val="none"/>
              </w:rPr>
            </w:pPr>
            <w:bookmarkStart w:id="75" w:name="_Hlk16461016"/>
            <w:r>
              <w:rPr>
                <w:rFonts w:hint="eastAsia" w:ascii="宋体" w:hAnsi="宋体" w:eastAsia="宋体" w:cs="宋体"/>
                <w:b/>
                <w:color w:val="auto"/>
                <w:kern w:val="2"/>
                <w:highlight w:val="none"/>
              </w:rPr>
              <w:t>序号</w:t>
            </w:r>
          </w:p>
        </w:tc>
        <w:tc>
          <w:tcPr>
            <w:tcW w:w="762" w:type="pct"/>
            <w:vAlign w:val="center"/>
          </w:tcPr>
          <w:p w14:paraId="2B3A80D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861" w:type="pct"/>
            <w:vAlign w:val="center"/>
          </w:tcPr>
          <w:p w14:paraId="4583ABC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62EC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375" w:type="pct"/>
            <w:vAlign w:val="center"/>
          </w:tcPr>
          <w:p w14:paraId="20446B3C">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762" w:type="pct"/>
            <w:vAlign w:val="center"/>
          </w:tcPr>
          <w:p w14:paraId="54A53F2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861" w:type="pct"/>
            <w:vAlign w:val="center"/>
          </w:tcPr>
          <w:p w14:paraId="667AB7B6">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宋体" w:hAnsi="宋体" w:eastAsia="宋体" w:cs="宋体"/>
                <w:b w:val="0"/>
                <w:bCs/>
                <w:color w:val="auto"/>
                <w:sz w:val="24"/>
                <w:highlight w:val="none"/>
                <w:lang w:eastAsia="zh-CN"/>
              </w:rPr>
            </w:pPr>
            <w:r>
              <w:rPr>
                <w:rFonts w:hint="eastAsia" w:ascii="宋体" w:hAnsi="宋体" w:cs="宋体"/>
                <w:b w:val="0"/>
                <w:bCs/>
                <w:color w:val="auto"/>
                <w:sz w:val="24"/>
                <w:highlight w:val="none"/>
                <w:lang w:eastAsia="zh-CN"/>
              </w:rPr>
              <w:t>发包人</w:t>
            </w:r>
            <w:r>
              <w:rPr>
                <w:rFonts w:hint="eastAsia" w:ascii="宋体" w:hAnsi="宋体" w:eastAsia="宋体" w:cs="宋体"/>
                <w:b w:val="0"/>
                <w:bCs/>
                <w:color w:val="auto"/>
                <w:sz w:val="24"/>
                <w:highlight w:val="none"/>
                <w:lang w:eastAsia="zh-CN"/>
              </w:rPr>
              <w:t>确定预付款为合同金额的50%，剩余款项待合同服务期满后一次性付清。</w:t>
            </w:r>
          </w:p>
          <w:p w14:paraId="54EA69F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val="0"/>
                <w:color w:val="auto"/>
                <w:sz w:val="24"/>
                <w:highlight w:val="none"/>
                <w:lang w:eastAsia="zh-CN"/>
              </w:rPr>
              <w:t>（供应商提交的响应文件中如有关于付款条件的表述与</w:t>
            </w:r>
            <w:r>
              <w:rPr>
                <w:rFonts w:hint="eastAsia" w:ascii="宋体" w:hAnsi="宋体" w:cs="宋体"/>
                <w:b/>
                <w:bCs w:val="0"/>
                <w:color w:val="auto"/>
                <w:sz w:val="24"/>
                <w:highlight w:val="none"/>
                <w:lang w:eastAsia="zh-CN"/>
              </w:rPr>
              <w:t>发包文件</w:t>
            </w:r>
            <w:r>
              <w:rPr>
                <w:rFonts w:hint="eastAsia" w:ascii="宋体" w:hAnsi="宋体" w:eastAsia="宋体" w:cs="宋体"/>
                <w:b/>
                <w:bCs w:val="0"/>
                <w:color w:val="auto"/>
                <w:sz w:val="24"/>
                <w:highlight w:val="none"/>
                <w:lang w:eastAsia="zh-CN"/>
              </w:rPr>
              <w:t>规定不符，将被视为实质性不响应，将导致响应无效）</w:t>
            </w:r>
          </w:p>
        </w:tc>
      </w:tr>
      <w:tr w14:paraId="4C2B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88" w:hRule="atLeast"/>
          <w:jc w:val="center"/>
        </w:trPr>
        <w:tc>
          <w:tcPr>
            <w:tcW w:w="375" w:type="pct"/>
            <w:vAlign w:val="center"/>
          </w:tcPr>
          <w:p w14:paraId="0C0485B7">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762" w:type="pct"/>
            <w:vAlign w:val="center"/>
          </w:tcPr>
          <w:p w14:paraId="4B20E040">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服务地点</w:t>
            </w:r>
          </w:p>
        </w:tc>
        <w:tc>
          <w:tcPr>
            <w:tcW w:w="3861" w:type="pct"/>
            <w:vAlign w:val="center"/>
          </w:tcPr>
          <w:p w14:paraId="1807A2F8">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宋体" w:hAnsi="宋体" w:eastAsia="宋体" w:cs="宋体"/>
                <w:b w:val="0"/>
                <w:color w:val="auto"/>
                <w:sz w:val="24"/>
                <w:highlight w:val="none"/>
                <w:lang w:val="en-US" w:eastAsia="zh-CN"/>
              </w:rPr>
            </w:pPr>
            <w:r>
              <w:rPr>
                <w:rFonts w:hint="eastAsia" w:ascii="宋体" w:hAnsi="宋体" w:cs="宋体"/>
                <w:b w:val="0"/>
                <w:color w:val="auto"/>
                <w:sz w:val="24"/>
                <w:highlight w:val="none"/>
                <w:lang w:val="en-US" w:eastAsia="zh-CN"/>
              </w:rPr>
              <w:t>发包人指定地点。</w:t>
            </w:r>
          </w:p>
        </w:tc>
      </w:tr>
      <w:tr w14:paraId="6D5C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61" w:hRule="atLeast"/>
          <w:jc w:val="center"/>
        </w:trPr>
        <w:tc>
          <w:tcPr>
            <w:tcW w:w="375" w:type="pct"/>
            <w:vAlign w:val="center"/>
          </w:tcPr>
          <w:p w14:paraId="31612239">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762" w:type="pct"/>
            <w:vAlign w:val="center"/>
          </w:tcPr>
          <w:p w14:paraId="69CE81E6">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服务期限</w:t>
            </w:r>
          </w:p>
        </w:tc>
        <w:tc>
          <w:tcPr>
            <w:tcW w:w="3861" w:type="pct"/>
            <w:vAlign w:val="center"/>
          </w:tcPr>
          <w:p w14:paraId="05E2506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宋体" w:hAnsi="宋体" w:eastAsia="宋体" w:cs="宋体"/>
                <w:b w:val="0"/>
                <w:color w:val="auto"/>
                <w:sz w:val="24"/>
                <w:highlight w:val="none"/>
                <w:lang w:eastAsia="zh-CN"/>
              </w:rPr>
            </w:pPr>
            <w:r>
              <w:rPr>
                <w:rFonts w:hint="eastAsia" w:ascii="宋体" w:hAnsi="宋体" w:cs="宋体"/>
                <w:b w:val="0"/>
                <w:color w:val="auto"/>
                <w:sz w:val="24"/>
                <w:highlight w:val="none"/>
                <w:lang w:eastAsia="zh-CN"/>
              </w:rPr>
              <w:t>1年。考核合格后，续签下一年度合同，最多续签2次。</w:t>
            </w:r>
          </w:p>
        </w:tc>
      </w:tr>
    </w:tbl>
    <w:p w14:paraId="6E66B4EF">
      <w:pPr>
        <w:numPr>
          <w:ilvl w:val="0"/>
          <w:numId w:val="0"/>
        </w:numPr>
        <w:spacing w:before="0" w:line="360" w:lineRule="auto"/>
        <w:ind w:left="0" w:leftChars="0" w:firstLine="482" w:firstLineChars="200"/>
        <w:rPr>
          <w:rFonts w:hint="eastAsia" w:ascii="宋体" w:hAnsi="宋体" w:cs="宋体"/>
          <w:b/>
          <w:bCs/>
          <w:sz w:val="24"/>
          <w:szCs w:val="24"/>
          <w:highlight w:val="none"/>
          <w:lang w:val="en-US" w:eastAsia="zh-CN"/>
        </w:rPr>
      </w:pPr>
      <w:r>
        <w:rPr>
          <w:rFonts w:hint="eastAsia" w:ascii="宋体" w:hAnsi="宋体" w:eastAsia="宋体" w:cs="宋体"/>
          <w:b/>
          <w:bCs/>
          <w:kern w:val="2"/>
          <w:sz w:val="24"/>
          <w:szCs w:val="24"/>
          <w:lang w:val="en-US" w:eastAsia="zh-CN" w:bidi="ar-SA"/>
        </w:rPr>
        <w:t>（二）</w:t>
      </w:r>
      <w:r>
        <w:rPr>
          <w:rFonts w:hint="eastAsia" w:ascii="宋体" w:hAnsi="宋体" w:cs="宋体"/>
          <w:b/>
          <w:bCs/>
          <w:sz w:val="24"/>
          <w:szCs w:val="24"/>
          <w:highlight w:val="none"/>
          <w:lang w:val="en-US" w:eastAsia="zh-CN"/>
        </w:rPr>
        <w:t>项目概况</w:t>
      </w:r>
    </w:p>
    <w:p w14:paraId="64D091C0">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随着社会经济的发展，在当今社会，保障居民健康是一项重要的社会责任。居民医保是我国保障居民身体健康的重要制度之一，而医保缴费则是支撑医保制度正常运转的重要环节之一。2024年国家为了深入贯彻落实党的二十大精神，进一步做好城乡居民基本医疗保障有关工作，不断增强基本医疗保障能力，努力解除人民群众疾病医疗后顾之忧，国家医保局会同财政部、国家税务总局印发了《关于做好2024年城乡居民基本医疗保障有关工作的通知》（医保发〔2024〕19号）。安徽省政府、医保局积极响应国家政策，联合印发了《安徽省城乡居民基本医疗保险和大病保险待遇保障政策》的通知（皖医保发〔2024〕9号）。城乡居民总体人数占比高，但存在参保主动性不足、缴费方式单一等问题，为落实医保惠民政策、提升参保缴费便利度与积极性，六安市医保局联合通信运营商、合作银行、定点零售药店推出城乡居民医保缴费券惠民活动，搭建专用医保缴费券管理服务平台，实现申报、审核、定向发券、抵扣缴费、过期退资、全流程监管一体化管理，提升参保覆盖面规范惠民资金使用的数字化支撑。</w:t>
      </w:r>
    </w:p>
    <w:bookmarkEnd w:id="75"/>
    <w:p w14:paraId="50AE31C5">
      <w:pPr>
        <w:keepNext w:val="0"/>
        <w:keepLines w:val="0"/>
        <w:widowControl/>
        <w:suppressLineNumbers w:val="0"/>
        <w:spacing w:line="360" w:lineRule="auto"/>
        <w:ind w:firstLine="482" w:firstLineChars="200"/>
        <w:jc w:val="left"/>
        <w:rPr>
          <w:rFonts w:hint="eastAsia" w:ascii="Times New Roman" w:hAnsi="Times New Roman" w:eastAsia="宋体" w:cs="Times New Roman"/>
          <w:b w:val="0"/>
          <w:bCs w:val="0"/>
          <w:color w:val="000000"/>
          <w:sz w:val="24"/>
          <w:szCs w:val="24"/>
          <w:lang w:val="en-US" w:eastAsia="zh-CN"/>
        </w:rPr>
      </w:pPr>
      <w:r>
        <w:rPr>
          <w:rFonts w:hint="eastAsia" w:ascii="宋体" w:hAnsi="宋体" w:eastAsia="宋体" w:cs="宋体"/>
          <w:b/>
          <w:bCs/>
          <w:sz w:val="24"/>
          <w:szCs w:val="24"/>
          <w:lang w:val="en-US" w:eastAsia="zh-CN"/>
        </w:rPr>
        <w:t>（三）</w:t>
      </w:r>
      <w:r>
        <w:rPr>
          <w:rFonts w:hint="eastAsia" w:ascii="Times New Roman" w:hAnsi="Times New Roman" w:eastAsia="宋体" w:cs="Times New Roman"/>
          <w:b w:val="0"/>
          <w:bCs w:val="0"/>
          <w:color w:val="000000"/>
          <w:sz w:val="24"/>
          <w:szCs w:val="24"/>
          <w:lang w:val="en-US" w:eastAsia="zh-CN"/>
        </w:rPr>
        <w:t>为构建高效、精准、全流程监管的一体化管理服务体系，本项目以建设医保缴费券管理服务服务平台为核心，通过医保缴费券管理服务平台实现多主体联合发券、城乡居民线上缴费一键抵扣，激发居民主动参保意愿，扩大基本医保覆盖范围。确认以下平台管理服务要求：</w:t>
      </w:r>
    </w:p>
    <w:p w14:paraId="30920E5F">
      <w:pPr>
        <w:keepNext w:val="0"/>
        <w:keepLines w:val="0"/>
        <w:widowControl/>
        <w:suppressLineNumbers w:val="0"/>
        <w:spacing w:line="360" w:lineRule="auto"/>
        <w:ind w:firstLine="482" w:firstLineChars="200"/>
        <w:jc w:val="lef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bCs/>
          <w:color w:val="000000"/>
          <w:sz w:val="24"/>
          <w:szCs w:val="24"/>
          <w:lang w:val="en-US" w:eastAsia="zh-CN"/>
        </w:rPr>
        <w:t>1.智能化管理，为医保局提供有效数据支持。</w:t>
      </w:r>
    </w:p>
    <w:p w14:paraId="7FF7AE00">
      <w:pPr>
        <w:keepNext w:val="0"/>
        <w:keepLines w:val="0"/>
        <w:widowControl/>
        <w:suppressLineNumbers w:val="0"/>
        <w:spacing w:line="360" w:lineRule="auto"/>
        <w:ind w:firstLine="480" w:firstLineChars="200"/>
        <w:jc w:val="lef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建立多主体协同发券机制，实现居民医保缴费券定向发放、全额 / 部分抵扣缴费、过期资金原路退回全闭环管理，为市医保局提供全节点核销、发放、使用、作废数据报表，真正做到惠民资金全程可追溯，透明公正化。</w:t>
      </w:r>
    </w:p>
    <w:p w14:paraId="542ACE64">
      <w:pPr>
        <w:keepNext w:val="0"/>
        <w:keepLines w:val="0"/>
        <w:widowControl/>
        <w:suppressLineNumbers w:val="0"/>
        <w:spacing w:line="360" w:lineRule="auto"/>
        <w:ind w:firstLine="482" w:firstLineChars="200"/>
        <w:jc w:val="left"/>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2.智能化管理，为发券商家提供有效渠道。</w:t>
      </w:r>
    </w:p>
    <w:p w14:paraId="6902F08B">
      <w:pPr>
        <w:keepNext w:val="0"/>
        <w:keepLines w:val="0"/>
        <w:widowControl/>
        <w:suppressLineNumbers w:val="0"/>
        <w:spacing w:line="360" w:lineRule="auto"/>
        <w:ind w:firstLine="480" w:firstLineChars="200"/>
        <w:jc w:val="left"/>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为发券商家（通信运营商、银行、药房</w:t>
      </w:r>
      <w:r>
        <w:rPr>
          <w:rFonts w:hint="eastAsia" w:ascii="Times New Roman" w:hAnsi="Times New Roman" w:cs="Times New Roman"/>
          <w:b w:val="0"/>
          <w:bCs w:val="0"/>
          <w:color w:val="000000"/>
          <w:sz w:val="24"/>
          <w:szCs w:val="24"/>
          <w:lang w:val="en-US" w:eastAsia="zh-CN"/>
        </w:rPr>
        <w:t>等</w:t>
      </w:r>
      <w:r>
        <w:rPr>
          <w:rFonts w:hint="eastAsia" w:ascii="Times New Roman" w:hAnsi="Times New Roman" w:eastAsia="宋体" w:cs="Times New Roman"/>
          <w:b w:val="0"/>
          <w:bCs w:val="0"/>
          <w:color w:val="000000"/>
          <w:sz w:val="24"/>
          <w:szCs w:val="24"/>
          <w:lang w:val="en-US" w:eastAsia="zh-CN"/>
        </w:rPr>
        <w:t>）提供智能发券渠道，提供后台数据支撑便于商家数据统计对账。</w:t>
      </w:r>
    </w:p>
    <w:p w14:paraId="11D49D07">
      <w:pPr>
        <w:keepNext w:val="0"/>
        <w:keepLines w:val="0"/>
        <w:widowControl/>
        <w:suppressLineNumbers w:val="0"/>
        <w:spacing w:line="360" w:lineRule="auto"/>
        <w:ind w:firstLine="482" w:firstLineChars="200"/>
        <w:jc w:val="left"/>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lang w:val="en-US" w:eastAsia="zh-CN"/>
        </w:rPr>
        <w:t>3.智能化管理，为居民缴费、查询、抵券提供便捷服务。</w:t>
      </w:r>
    </w:p>
    <w:p w14:paraId="7506B547">
      <w:pPr>
        <w:keepNext w:val="0"/>
        <w:keepLines w:val="0"/>
        <w:widowControl/>
        <w:suppressLineNumbers w:val="0"/>
        <w:spacing w:line="360" w:lineRule="auto"/>
        <w:ind w:firstLine="480" w:firstLineChars="200"/>
        <w:jc w:val="lef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线上化便捷服务，依托居民统一城乡居民缴费入口，实现城乡居民医保缴费券查询、缴费抵扣全程线上办理，确保参保人足不出户即可完成缴费，激发居民主动参保意愿。</w:t>
      </w:r>
    </w:p>
    <w:p w14:paraId="6F0D8A4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i w:val="0"/>
          <w:iCs w:val="0"/>
          <w:color w:val="auto"/>
          <w:kern w:val="2"/>
          <w:sz w:val="24"/>
          <w:szCs w:val="24"/>
          <w:highlight w:val="none"/>
          <w:vertAlign w:val="baseline"/>
          <w:lang w:val="en-US" w:eastAsia="zh-CN" w:bidi="ar-SA"/>
        </w:rPr>
      </w:pPr>
      <w:r>
        <w:rPr>
          <w:rFonts w:hint="eastAsia" w:ascii="Times New Roman" w:hAnsi="Times New Roman" w:eastAsia="宋体" w:cs="Times New Roman"/>
          <w:b/>
          <w:bCs/>
          <w:i w:val="0"/>
          <w:iCs w:val="0"/>
          <w:color w:val="auto"/>
          <w:kern w:val="2"/>
          <w:sz w:val="24"/>
          <w:szCs w:val="24"/>
          <w:vertAlign w:val="baseline"/>
          <w:lang w:val="en-US" w:eastAsia="zh-CN" w:bidi="ar-SA"/>
        </w:rPr>
        <w:t>4、</w:t>
      </w:r>
      <w:r>
        <w:rPr>
          <w:rFonts w:hint="eastAsia" w:ascii="Times New Roman" w:hAnsi="Times New Roman" w:eastAsia="宋体" w:cs="Times New Roman"/>
          <w:b/>
          <w:bCs/>
          <w:i w:val="0"/>
          <w:iCs w:val="0"/>
          <w:color w:val="auto"/>
          <w:kern w:val="2"/>
          <w:sz w:val="24"/>
          <w:szCs w:val="24"/>
          <w:highlight w:val="none"/>
          <w:vertAlign w:val="baseline"/>
          <w:lang w:val="en-US" w:eastAsia="zh-CN" w:bidi="ar-SA"/>
        </w:rPr>
        <w:t>合同签订之日起15日历天内完成项目建设。</w:t>
      </w:r>
    </w:p>
    <w:p w14:paraId="5F5DB21F">
      <w:pPr>
        <w:numPr>
          <w:ilvl w:val="0"/>
          <w:numId w:val="0"/>
        </w:numPr>
        <w:spacing w:before="0" w:line="360" w:lineRule="auto"/>
        <w:ind w:left="0" w:leftChars="0" w:firstLine="482" w:firstLineChars="20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（三）产品核心功能要求</w:t>
      </w:r>
    </w:p>
    <w:tbl>
      <w:tblPr>
        <w:tblStyle w:val="24"/>
        <w:tblpPr w:leftFromText="180" w:rightFromText="180" w:vertAnchor="text" w:horzAnchor="page" w:tblpXSpec="center" w:tblpY="163"/>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1394"/>
        <w:gridCol w:w="6152"/>
      </w:tblGrid>
      <w:tr w14:paraId="2C59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89" w:type="dxa"/>
            <w:noWrap w:val="0"/>
            <w:vAlign w:val="center"/>
          </w:tcPr>
          <w:p w14:paraId="53F05779">
            <w:pPr>
              <w:spacing w:line="360" w:lineRule="auto"/>
              <w:jc w:val="center"/>
              <w:rPr>
                <w:rFonts w:hint="eastAsia" w:ascii="Times New Roman" w:hAnsi="Times New Roman" w:cs="Times New Roman"/>
                <w:b/>
                <w:color w:val="auto"/>
                <w:sz w:val="21"/>
                <w:szCs w:val="21"/>
                <w:highlight w:val="none"/>
                <w:lang w:val="en-US"/>
              </w:rPr>
            </w:pPr>
            <w:r>
              <w:rPr>
                <w:rFonts w:hint="eastAsia" w:ascii="Times New Roman" w:hAnsi="Times New Roman" w:cs="Times New Roman"/>
                <w:b/>
                <w:color w:val="auto"/>
                <w:sz w:val="21"/>
                <w:szCs w:val="21"/>
                <w:highlight w:val="none"/>
                <w:lang w:val="en-US" w:eastAsia="zh-CN"/>
              </w:rPr>
              <w:t>名称</w:t>
            </w:r>
          </w:p>
        </w:tc>
        <w:tc>
          <w:tcPr>
            <w:tcW w:w="1472" w:type="dxa"/>
            <w:noWrap w:val="0"/>
            <w:vAlign w:val="center"/>
          </w:tcPr>
          <w:p w14:paraId="2AEF15C5">
            <w:pPr>
              <w:spacing w:line="360" w:lineRule="auto"/>
              <w:jc w:val="center"/>
              <w:rPr>
                <w:rFonts w:hint="default" w:ascii="Times New Roman" w:hAnsi="Times New Roman" w:cs="Times New Roman"/>
                <w:b/>
                <w:color w:val="auto"/>
                <w:sz w:val="21"/>
                <w:szCs w:val="21"/>
                <w:highlight w:val="none"/>
                <w:lang w:val="zh-TW"/>
              </w:rPr>
            </w:pPr>
          </w:p>
        </w:tc>
        <w:tc>
          <w:tcPr>
            <w:tcW w:w="6494" w:type="dxa"/>
            <w:noWrap w:val="0"/>
            <w:vAlign w:val="center"/>
          </w:tcPr>
          <w:p w14:paraId="4F99A347">
            <w:pPr>
              <w:spacing w:line="360" w:lineRule="auto"/>
              <w:jc w:val="center"/>
              <w:rPr>
                <w:rFonts w:hint="default" w:ascii="Times New Roman" w:hAnsi="Times New Roman" w:cs="Times New Roman"/>
                <w:b/>
                <w:color w:val="auto"/>
                <w:sz w:val="21"/>
                <w:szCs w:val="21"/>
                <w:highlight w:val="none"/>
                <w:lang w:val="zh-TW" w:eastAsia="zh-TW"/>
              </w:rPr>
            </w:pPr>
            <w:r>
              <w:rPr>
                <w:rFonts w:hint="eastAsia" w:ascii="Times New Roman" w:hAnsi="Times New Roman" w:cs="Times New Roman"/>
                <w:b/>
                <w:color w:val="auto"/>
                <w:sz w:val="21"/>
                <w:szCs w:val="21"/>
                <w:highlight w:val="none"/>
                <w:lang w:val="zh-TW" w:eastAsia="zh-CN"/>
              </w:rPr>
              <w:t>功能</w:t>
            </w:r>
            <w:r>
              <w:rPr>
                <w:rFonts w:hint="default" w:ascii="Times New Roman" w:hAnsi="Times New Roman" w:cs="Times New Roman"/>
                <w:b/>
                <w:color w:val="auto"/>
                <w:sz w:val="21"/>
                <w:szCs w:val="21"/>
                <w:highlight w:val="none"/>
                <w:lang w:val="zh-TW"/>
              </w:rPr>
              <w:t>参数要求</w:t>
            </w:r>
          </w:p>
        </w:tc>
      </w:tr>
      <w:tr w14:paraId="1A9C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vMerge w:val="restart"/>
            <w:noWrap w:val="0"/>
            <w:vAlign w:val="center"/>
          </w:tcPr>
          <w:p w14:paraId="7CFF61B2">
            <w:pPr>
              <w:snapToGrid w:val="0"/>
              <w:spacing w:line="440" w:lineRule="exact"/>
              <w:jc w:val="center"/>
              <w:rPr>
                <w:rFonts w:hint="default" w:ascii="Times New Roman" w:hAnsi="Times New Roman" w:cs="Times New Roman"/>
                <w:color w:val="auto"/>
                <w:kern w:val="2"/>
                <w:sz w:val="21"/>
                <w:szCs w:val="21"/>
                <w:highlight w:val="none"/>
                <w:lang w:val="zh-TW" w:eastAsia="zh-CN" w:bidi="ar-SA"/>
              </w:rPr>
            </w:pPr>
            <w:r>
              <w:rPr>
                <w:rFonts w:hint="eastAsia" w:ascii="宋体" w:hAnsi="宋体" w:eastAsia="宋体" w:cs="宋体"/>
                <w:sz w:val="21"/>
                <w:szCs w:val="21"/>
                <w:lang w:eastAsia="zh-CN"/>
              </w:rPr>
              <w:t>医保缴费券</w:t>
            </w:r>
            <w:r>
              <w:rPr>
                <w:rFonts w:hint="default" w:ascii="Times New Roman" w:hAnsi="Times New Roman" w:cs="Times New Roman"/>
                <w:color w:val="auto"/>
                <w:szCs w:val="21"/>
                <w:highlight w:val="none"/>
              </w:rPr>
              <w:t>综合管理系统</w:t>
            </w:r>
          </w:p>
        </w:tc>
        <w:tc>
          <w:tcPr>
            <w:tcW w:w="1472" w:type="dxa"/>
            <w:noWrap w:val="0"/>
            <w:vAlign w:val="center"/>
          </w:tcPr>
          <w:p w14:paraId="20DF3321">
            <w:pPr>
              <w:snapToGrid w:val="0"/>
              <w:spacing w:line="440" w:lineRule="exact"/>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基础配置和权限管理</w:t>
            </w:r>
          </w:p>
        </w:tc>
        <w:tc>
          <w:tcPr>
            <w:tcW w:w="6494" w:type="dxa"/>
            <w:noWrap w:val="0"/>
            <w:vAlign w:val="top"/>
          </w:tcPr>
          <w:p w14:paraId="67E1D5A6">
            <w:pPr>
              <w:pStyle w:val="73"/>
              <w:numPr>
                <w:ilvl w:val="0"/>
                <w:numId w:val="0"/>
              </w:numPr>
              <w:spacing w:line="24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主要用于医保缴费券管理服务平台用户管理、角色管理、缴费券权限管理、系统支持以下功能：</w:t>
            </w:r>
          </w:p>
          <w:p w14:paraId="0E8D0F34">
            <w:pPr>
              <w:pStyle w:val="73"/>
              <w:numPr>
                <w:ilvl w:val="0"/>
                <w:numId w:val="0"/>
              </w:numPr>
              <w:spacing w:line="24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1.支持医保局/主管部门用户管理制定、配置活动规则、报送居民清单审核、具备按照机构、时间段、居民维度对医保缴费券进行管理；</w:t>
            </w:r>
          </w:p>
          <w:p w14:paraId="41396848">
            <w:pPr>
              <w:pStyle w:val="73"/>
              <w:numPr>
                <w:ilvl w:val="0"/>
                <w:numId w:val="0"/>
              </w:numPr>
              <w:spacing w:line="24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2.支持发券主体（通信运营商、银行、药房</w:t>
            </w:r>
            <w:r>
              <w:rPr>
                <w:rFonts w:hint="eastAsia" w:ascii="宋体" w:hAnsi="宋体" w:cs="宋体"/>
                <w:color w:val="auto"/>
                <w:kern w:val="0"/>
                <w:sz w:val="21"/>
                <w:szCs w:val="21"/>
                <w:highlight w:val="none"/>
                <w:lang w:val="en-US" w:eastAsia="zh-CN" w:bidi="ar-SA"/>
              </w:rPr>
              <w:t>等</w:t>
            </w:r>
            <w:r>
              <w:rPr>
                <w:rFonts w:hint="eastAsia" w:ascii="宋体" w:hAnsi="宋体" w:eastAsia="宋体" w:cs="宋体"/>
                <w:color w:val="auto"/>
                <w:kern w:val="0"/>
                <w:sz w:val="21"/>
                <w:szCs w:val="21"/>
                <w:highlight w:val="none"/>
                <w:lang w:val="en-US" w:eastAsia="zh-CN" w:bidi="ar-SA"/>
              </w:rPr>
              <w:t>）居民信息系统批量导入、报送、缴费券定向群体发放；</w:t>
            </w:r>
          </w:p>
          <w:p w14:paraId="735FB47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jc w:val="left"/>
              <w:rPr>
                <w:rFonts w:hint="eastAsia" w:ascii="宋体" w:hAnsi="宋体" w:eastAsia="宋体" w:cs="宋体"/>
                <w:color w:val="000000"/>
                <w:sz w:val="21"/>
                <w:szCs w:val="21"/>
              </w:rPr>
            </w:pPr>
            <w:r>
              <w:rPr>
                <w:rFonts w:hint="eastAsia" w:ascii="宋体" w:hAnsi="宋体" w:eastAsia="宋体" w:cs="宋体"/>
                <w:color w:val="auto"/>
                <w:kern w:val="0"/>
                <w:sz w:val="21"/>
                <w:szCs w:val="21"/>
                <w:highlight w:val="none"/>
                <w:lang w:val="en-US" w:eastAsia="zh-CN" w:bidi="ar-SA"/>
              </w:rPr>
              <w:t>3.</w:t>
            </w:r>
            <w:r>
              <w:rPr>
                <w:rStyle w:val="27"/>
                <w:rFonts w:hint="eastAsia" w:ascii="宋体" w:hAnsi="宋体" w:eastAsia="宋体" w:cs="宋体"/>
                <w:b w:val="0"/>
                <w:bCs w:val="0"/>
                <w:color w:val="000000"/>
                <w:sz w:val="21"/>
                <w:szCs w:val="21"/>
                <w:lang w:eastAsia="zh-CN"/>
              </w:rPr>
              <w:t>支持</w:t>
            </w:r>
            <w:r>
              <w:rPr>
                <w:rFonts w:hint="eastAsia" w:ascii="宋体" w:hAnsi="宋体" w:eastAsia="宋体" w:cs="宋体"/>
                <w:color w:val="000000"/>
                <w:sz w:val="21"/>
                <w:szCs w:val="21"/>
              </w:rPr>
              <w:t>模板化 Excel</w:t>
            </w:r>
            <w:r>
              <w:rPr>
                <w:rFonts w:hint="eastAsia" w:ascii="宋体" w:hAnsi="宋体" w:eastAsia="宋体" w:cs="宋体"/>
                <w:color w:val="000000"/>
                <w:sz w:val="21"/>
                <w:szCs w:val="21"/>
                <w:lang w:val="en-US" w:eastAsia="zh-CN"/>
              </w:rPr>
              <w:t>报送居民</w:t>
            </w:r>
            <w:r>
              <w:rPr>
                <w:rFonts w:hint="eastAsia" w:ascii="宋体" w:hAnsi="宋体" w:eastAsia="宋体" w:cs="宋体"/>
                <w:color w:val="000000"/>
                <w:sz w:val="21"/>
                <w:szCs w:val="21"/>
              </w:rPr>
              <w:t>姓名、身份证、手机号、券面额</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数量等</w:t>
            </w:r>
            <w:r>
              <w:rPr>
                <w:rFonts w:hint="eastAsia" w:ascii="宋体" w:hAnsi="宋体" w:eastAsia="宋体" w:cs="宋体"/>
                <w:color w:val="000000"/>
                <w:sz w:val="21"/>
                <w:szCs w:val="21"/>
              </w:rPr>
              <w:t>；</w:t>
            </w:r>
          </w:p>
          <w:p w14:paraId="3C6341D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jc w:val="left"/>
              <w:rPr>
                <w:rFonts w:hint="default" w:eastAsia="宋体"/>
                <w:b w:val="0"/>
                <w:bCs w:val="0"/>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b w:val="0"/>
                <w:bCs w:val="0"/>
                <w:color w:val="000000"/>
                <w:sz w:val="21"/>
                <w:szCs w:val="21"/>
                <w:lang w:val="en-US" w:eastAsia="zh-CN"/>
              </w:rPr>
              <w:t>.支持进度查询，含已发放券数量、核销金额、待退回资金数据；</w:t>
            </w:r>
          </w:p>
          <w:p w14:paraId="6785AF8E">
            <w:pPr>
              <w:pStyle w:val="73"/>
              <w:numPr>
                <w:ilvl w:val="0"/>
                <w:numId w:val="0"/>
              </w:numPr>
              <w:spacing w:line="240" w:lineRule="auto"/>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5.支持用户管理，包括用户角色设置，不同的角色所查看的居民信息、数据的权限控制；</w:t>
            </w:r>
          </w:p>
        </w:tc>
      </w:tr>
      <w:tr w14:paraId="605F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vMerge w:val="continue"/>
            <w:noWrap w:val="0"/>
            <w:vAlign w:val="center"/>
          </w:tcPr>
          <w:p w14:paraId="0C3AB1C8">
            <w:pPr>
              <w:snapToGrid w:val="0"/>
              <w:spacing w:line="440" w:lineRule="exact"/>
              <w:jc w:val="center"/>
              <w:rPr>
                <w:rFonts w:hint="eastAsia" w:ascii="宋体" w:hAnsi="宋体" w:eastAsia="宋体" w:cs="宋体"/>
                <w:sz w:val="21"/>
                <w:szCs w:val="21"/>
                <w:lang w:eastAsia="zh-CN"/>
              </w:rPr>
            </w:pPr>
          </w:p>
        </w:tc>
        <w:tc>
          <w:tcPr>
            <w:tcW w:w="1472" w:type="dxa"/>
            <w:noWrap w:val="0"/>
            <w:vAlign w:val="center"/>
          </w:tcPr>
          <w:p w14:paraId="14B9BF8A">
            <w:pPr>
              <w:snapToGrid w:val="0"/>
              <w:spacing w:line="440" w:lineRule="exact"/>
              <w:jc w:val="center"/>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eastAsia="zh-CN"/>
              </w:rPr>
              <w:t>移动端管理</w:t>
            </w:r>
          </w:p>
        </w:tc>
        <w:tc>
          <w:tcPr>
            <w:tcW w:w="6494" w:type="dxa"/>
            <w:noWrap w:val="0"/>
            <w:vAlign w:val="top"/>
          </w:tcPr>
          <w:p w14:paraId="178B8917">
            <w:pPr>
              <w:pStyle w:val="73"/>
              <w:numPr>
                <w:ilvl w:val="0"/>
                <w:numId w:val="2"/>
              </w:numPr>
              <w:rPr>
                <w:rFonts w:hint="eastAsia" w:ascii="宋体" w:hAnsi="宋体" w:eastAsia="宋体" w:cs="宋体"/>
                <w:color w:val="000000"/>
                <w:sz w:val="21"/>
                <w:szCs w:val="21"/>
                <w:lang w:eastAsia="zh-CN"/>
              </w:rPr>
            </w:pPr>
            <w:r>
              <w:rPr>
                <w:rFonts w:hint="eastAsia" w:ascii="宋体" w:hAnsi="宋体" w:eastAsia="宋体" w:cs="宋体"/>
                <w:color w:val="auto"/>
                <w:kern w:val="0"/>
                <w:sz w:val="21"/>
                <w:szCs w:val="21"/>
                <w:highlight w:val="none"/>
                <w:lang w:val="en-US" w:eastAsia="zh-CN" w:bidi="ar-SA"/>
              </w:rPr>
              <w:t>移动端支持设立专门的“医保”缴费券入口，页面显示用户账户内所有缴费券，</w:t>
            </w:r>
            <w:r>
              <w:rPr>
                <w:rFonts w:hint="eastAsia" w:ascii="宋体" w:hAnsi="宋体" w:eastAsia="宋体" w:cs="宋体"/>
                <w:color w:val="000000"/>
                <w:sz w:val="21"/>
                <w:szCs w:val="21"/>
              </w:rPr>
              <w:t>清晰展示发放机构 LOGO、名称、券面额、有效期、使用状态（未使用 / 已核销 / 已过期）</w:t>
            </w:r>
            <w:r>
              <w:rPr>
                <w:rFonts w:hint="eastAsia" w:ascii="宋体" w:hAnsi="宋体" w:eastAsia="宋体" w:cs="宋体"/>
                <w:color w:val="000000"/>
                <w:sz w:val="21"/>
                <w:szCs w:val="21"/>
                <w:lang w:eastAsia="zh-CN"/>
              </w:rPr>
              <w:t>；</w:t>
            </w:r>
          </w:p>
          <w:p w14:paraId="1B606F33">
            <w:pPr>
              <w:pStyle w:val="73"/>
              <w:numPr>
                <w:ilvl w:val="0"/>
                <w:numId w:val="2"/>
              </w:numP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移动端支持</w:t>
            </w:r>
            <w:r>
              <w:rPr>
                <w:rFonts w:hint="eastAsia" w:ascii="宋体" w:hAnsi="宋体" w:eastAsia="宋体" w:cs="宋体"/>
                <w:color w:val="auto"/>
                <w:kern w:val="0"/>
                <w:sz w:val="21"/>
                <w:szCs w:val="21"/>
                <w:highlight w:val="none"/>
                <w:lang w:val="en-US" w:eastAsia="zh-CN" w:bidi="ar-SA"/>
              </w:rPr>
              <w:t>发券主体自主定向发券；</w:t>
            </w:r>
          </w:p>
          <w:p w14:paraId="160E3B7A">
            <w:pPr>
              <w:pStyle w:val="73"/>
              <w:numPr>
                <w:ilvl w:val="0"/>
                <w:numId w:val="2"/>
              </w:numP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移动端缴费</w:t>
            </w:r>
            <w:r>
              <w:rPr>
                <w:rFonts w:hint="eastAsia" w:ascii="宋体" w:hAnsi="宋体" w:eastAsia="宋体" w:cs="宋体"/>
                <w:color w:val="000000"/>
                <w:sz w:val="21"/>
                <w:szCs w:val="21"/>
              </w:rPr>
              <w:t>支持勾选多张券叠加抵扣，支持全额抵扣、部分抵扣</w:t>
            </w:r>
            <w:r>
              <w:rPr>
                <w:rFonts w:hint="eastAsia" w:ascii="宋体" w:hAnsi="宋体" w:eastAsia="宋体" w:cs="宋体"/>
                <w:color w:val="000000"/>
                <w:sz w:val="21"/>
                <w:szCs w:val="21"/>
                <w:lang w:eastAsia="zh-CN"/>
              </w:rPr>
              <w:t>，差额部分通过原支付方式补齐缴费；</w:t>
            </w:r>
          </w:p>
          <w:p w14:paraId="349721ED">
            <w:pPr>
              <w:pStyle w:val="73"/>
              <w:numPr>
                <w:ilvl w:val="0"/>
                <w:numId w:val="2"/>
              </w:numP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移动端交易查询，支持</w:t>
            </w:r>
            <w:r>
              <w:rPr>
                <w:rFonts w:hint="eastAsia" w:ascii="宋体" w:hAnsi="宋体" w:eastAsia="宋体" w:cs="宋体"/>
                <w:b w:val="0"/>
                <w:bCs w:val="0"/>
                <w:i w:val="0"/>
                <w:iCs w:val="0"/>
                <w:caps w:val="0"/>
                <w:color w:val="060A26"/>
                <w:spacing w:val="0"/>
                <w:sz w:val="21"/>
                <w:szCs w:val="21"/>
                <w:shd w:val="clear" w:color="auto" w:fill="FFFFFF"/>
              </w:rPr>
              <w:t>缴费记录、</w:t>
            </w:r>
            <w:r>
              <w:rPr>
                <w:rFonts w:hint="eastAsia" w:ascii="宋体" w:hAnsi="宋体" w:eastAsia="宋体" w:cs="宋体"/>
                <w:b w:val="0"/>
                <w:bCs w:val="0"/>
                <w:i w:val="0"/>
                <w:iCs w:val="0"/>
                <w:caps w:val="0"/>
                <w:color w:val="060A26"/>
                <w:spacing w:val="0"/>
                <w:sz w:val="21"/>
                <w:szCs w:val="21"/>
                <w:shd w:val="clear" w:color="auto" w:fill="FFFFFF"/>
                <w:lang w:eastAsia="zh-CN"/>
              </w:rPr>
              <w:t>用</w:t>
            </w:r>
            <w:r>
              <w:rPr>
                <w:rFonts w:hint="eastAsia" w:ascii="宋体" w:hAnsi="宋体" w:eastAsia="宋体" w:cs="宋体"/>
                <w:b w:val="0"/>
                <w:bCs w:val="0"/>
                <w:i w:val="0"/>
                <w:iCs w:val="0"/>
                <w:caps w:val="0"/>
                <w:color w:val="060A26"/>
                <w:spacing w:val="0"/>
                <w:sz w:val="21"/>
                <w:szCs w:val="21"/>
                <w:shd w:val="clear" w:color="auto" w:fill="FFFFFF"/>
              </w:rPr>
              <w:t>券使用明细的一键查询功能</w:t>
            </w:r>
          </w:p>
        </w:tc>
      </w:tr>
      <w:tr w14:paraId="6528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vMerge w:val="continue"/>
            <w:noWrap w:val="0"/>
            <w:vAlign w:val="center"/>
          </w:tcPr>
          <w:p w14:paraId="1116A036">
            <w:pPr>
              <w:snapToGrid w:val="0"/>
              <w:spacing w:line="440" w:lineRule="exact"/>
              <w:jc w:val="center"/>
              <w:rPr>
                <w:rFonts w:hint="eastAsia" w:ascii="宋体" w:hAnsi="宋体" w:eastAsia="宋体" w:cs="宋体"/>
                <w:sz w:val="21"/>
                <w:szCs w:val="21"/>
                <w:lang w:eastAsia="zh-CN"/>
              </w:rPr>
            </w:pPr>
          </w:p>
        </w:tc>
        <w:tc>
          <w:tcPr>
            <w:tcW w:w="1472" w:type="dxa"/>
            <w:noWrap w:val="0"/>
            <w:vAlign w:val="center"/>
          </w:tcPr>
          <w:p w14:paraId="32F7A9A9">
            <w:pPr>
              <w:snapToGrid w:val="0"/>
              <w:spacing w:line="440" w:lineRule="exact"/>
              <w:jc w:val="center"/>
              <w:rPr>
                <w:rFonts w:hint="eastAsia" w:ascii="Times New Roman" w:hAnsi="Times New Roman" w:cs="Times New Roman"/>
                <w:color w:val="auto"/>
                <w:szCs w:val="21"/>
                <w:highlight w:val="none"/>
                <w:lang w:eastAsia="zh-CN"/>
              </w:rPr>
            </w:pPr>
            <w:r>
              <w:rPr>
                <w:rFonts w:hint="eastAsia" w:ascii="Times New Roman" w:hAnsi="Times New Roman" w:cs="Times New Roman"/>
                <w:color w:val="auto"/>
                <w:szCs w:val="21"/>
                <w:highlight w:val="none"/>
                <w:lang w:eastAsia="zh-CN"/>
              </w:rPr>
              <w:t>医保缴费券周期与资金管理</w:t>
            </w:r>
          </w:p>
        </w:tc>
        <w:tc>
          <w:tcPr>
            <w:tcW w:w="6494" w:type="dxa"/>
            <w:noWrap w:val="0"/>
            <w:vAlign w:val="top"/>
          </w:tcPr>
          <w:p w14:paraId="1E4E9D33">
            <w:pPr>
              <w:pStyle w:val="73"/>
              <w:numPr>
                <w:ilvl w:val="0"/>
                <w:numId w:val="3"/>
              </w:numPr>
              <w:rPr>
                <w:rFonts w:hint="eastAsia" w:ascii="仿宋" w:hAnsi="仿宋" w:cs="仿宋"/>
                <w:b w:val="0"/>
                <w:bCs w:val="0"/>
                <w:i w:val="0"/>
                <w:iCs w:val="0"/>
                <w:caps w:val="0"/>
                <w:color w:val="060A26"/>
                <w:spacing w:val="5"/>
                <w:sz w:val="21"/>
                <w:szCs w:val="21"/>
                <w:shd w:val="clear" w:color="auto" w:fill="FFFFFF"/>
                <w:lang w:val="en-US" w:eastAsia="zh-CN"/>
              </w:rPr>
            </w:pPr>
            <w:r>
              <w:rPr>
                <w:rFonts w:hint="eastAsia" w:ascii="宋体" w:hAnsi="宋体" w:eastAsia="宋体" w:cs="宋体"/>
                <w:color w:val="000000"/>
                <w:sz w:val="21"/>
                <w:szCs w:val="21"/>
                <w:lang w:val="en-US" w:eastAsia="zh-CN"/>
              </w:rPr>
              <w:t>系统支持缴费券主管部门审核资金到账后，</w:t>
            </w:r>
            <w:r>
              <w:rPr>
                <w:rFonts w:hint="eastAsia" w:ascii="仿宋" w:hAnsi="仿宋" w:cs="仿宋"/>
                <w:b w:val="0"/>
                <w:bCs w:val="0"/>
                <w:i w:val="0"/>
                <w:iCs w:val="0"/>
                <w:caps w:val="0"/>
                <w:color w:val="060A26"/>
                <w:spacing w:val="5"/>
                <w:sz w:val="21"/>
                <w:szCs w:val="21"/>
                <w:shd w:val="clear" w:color="auto" w:fill="FFFFFF"/>
                <w:lang w:val="en-US" w:eastAsia="zh-CN"/>
              </w:rPr>
              <w:t>定向向目标群体发放医保缴费券；</w:t>
            </w:r>
          </w:p>
          <w:p w14:paraId="31653E5E">
            <w:pPr>
              <w:pStyle w:val="73"/>
              <w:numPr>
                <w:ilvl w:val="0"/>
                <w:numId w:val="3"/>
              </w:numPr>
              <w:rPr>
                <w:rFonts w:hint="default" w:ascii="仿宋" w:hAnsi="仿宋" w:cs="仿宋"/>
                <w:b w:val="0"/>
                <w:bCs w:val="0"/>
                <w:i w:val="0"/>
                <w:iCs w:val="0"/>
                <w:caps w:val="0"/>
                <w:color w:val="060A26"/>
                <w:spacing w:val="5"/>
                <w:sz w:val="21"/>
                <w:szCs w:val="21"/>
                <w:shd w:val="clear" w:color="auto" w:fill="FFFFFF"/>
                <w:lang w:val="en-US" w:eastAsia="zh-CN"/>
              </w:rPr>
            </w:pPr>
            <w:r>
              <w:rPr>
                <w:rFonts w:hint="eastAsia" w:ascii="仿宋" w:hAnsi="仿宋" w:cs="仿宋"/>
                <w:b w:val="0"/>
                <w:bCs w:val="0"/>
                <w:i w:val="0"/>
                <w:iCs w:val="0"/>
                <w:caps w:val="0"/>
                <w:color w:val="060A26"/>
                <w:spacing w:val="5"/>
                <w:sz w:val="21"/>
                <w:szCs w:val="21"/>
                <w:shd w:val="clear" w:color="auto" w:fill="FFFFFF"/>
                <w:lang w:val="en-US" w:eastAsia="zh-CN"/>
              </w:rPr>
              <w:t>系统支持实时将缴纳成功的缴费券进行“已使用”标记；</w:t>
            </w:r>
          </w:p>
          <w:p w14:paraId="7CBAD6AD">
            <w:pPr>
              <w:pStyle w:val="73"/>
              <w:numPr>
                <w:ilvl w:val="0"/>
                <w:numId w:val="3"/>
              </w:numPr>
              <w:rPr>
                <w:rFonts w:hint="default" w:ascii="仿宋" w:hAnsi="仿宋" w:cs="仿宋"/>
                <w:b w:val="0"/>
                <w:bCs w:val="0"/>
                <w:i w:val="0"/>
                <w:iCs w:val="0"/>
                <w:caps w:val="0"/>
                <w:color w:val="060A26"/>
                <w:spacing w:val="5"/>
                <w:sz w:val="21"/>
                <w:szCs w:val="21"/>
                <w:shd w:val="clear" w:color="auto" w:fill="FFFFFF"/>
                <w:lang w:val="en-US" w:eastAsia="zh-CN"/>
              </w:rPr>
            </w:pPr>
            <w:r>
              <w:rPr>
                <w:rFonts w:hint="eastAsia" w:ascii="仿宋" w:hAnsi="仿宋" w:cs="仿宋"/>
                <w:b w:val="0"/>
                <w:bCs w:val="0"/>
                <w:i w:val="0"/>
                <w:iCs w:val="0"/>
                <w:caps w:val="0"/>
                <w:color w:val="060A26"/>
                <w:spacing w:val="5"/>
                <w:sz w:val="21"/>
                <w:szCs w:val="21"/>
                <w:shd w:val="clear" w:color="auto" w:fill="FFFFFF"/>
                <w:lang w:val="en-US" w:eastAsia="zh-CN"/>
              </w:rPr>
              <w:t>未使用缴费券到期后，系统自动设置为“作废”状态；</w:t>
            </w:r>
          </w:p>
          <w:p w14:paraId="7D7FDDB8">
            <w:pPr>
              <w:pStyle w:val="73"/>
              <w:numPr>
                <w:ilvl w:val="0"/>
                <w:numId w:val="3"/>
              </w:numPr>
              <w:rPr>
                <w:rFonts w:hint="default" w:ascii="仿宋" w:hAnsi="仿宋" w:cs="仿宋"/>
                <w:b w:val="0"/>
                <w:bCs w:val="0"/>
                <w:i w:val="0"/>
                <w:iCs w:val="0"/>
                <w:caps w:val="0"/>
                <w:color w:val="060A26"/>
                <w:spacing w:val="5"/>
                <w:sz w:val="21"/>
                <w:szCs w:val="21"/>
                <w:shd w:val="clear" w:color="auto" w:fill="FFFFFF"/>
                <w:lang w:val="en-US" w:eastAsia="zh-CN"/>
              </w:rPr>
            </w:pPr>
            <w:r>
              <w:rPr>
                <w:rFonts w:hint="eastAsia" w:ascii="仿宋" w:hAnsi="仿宋" w:cs="仿宋"/>
                <w:b w:val="0"/>
                <w:bCs w:val="0"/>
                <w:i w:val="0"/>
                <w:iCs w:val="0"/>
                <w:caps w:val="0"/>
                <w:color w:val="060A26"/>
                <w:spacing w:val="5"/>
                <w:sz w:val="21"/>
                <w:szCs w:val="21"/>
                <w:shd w:val="clear" w:color="auto" w:fill="FFFFFF"/>
                <w:lang w:val="en-US" w:eastAsia="zh-CN"/>
              </w:rPr>
              <w:t>系统每日生成资金清算流水，</w:t>
            </w:r>
            <w:r>
              <w:rPr>
                <w:rFonts w:hint="eastAsia" w:ascii="宋体" w:hAnsi="宋体" w:eastAsia="宋体" w:cs="宋体"/>
                <w:i w:val="0"/>
                <w:iCs w:val="0"/>
                <w:caps w:val="0"/>
                <w:color w:val="060A26"/>
                <w:spacing w:val="0"/>
                <w:sz w:val="21"/>
                <w:szCs w:val="21"/>
                <w:shd w:val="clear" w:color="auto" w:fill="FFFFFF"/>
              </w:rPr>
              <w:t>精准区分“核销资金”与“退回资金”，并支持生成报表供机构财务进行对账</w:t>
            </w:r>
            <w:r>
              <w:rPr>
                <w:rFonts w:hint="eastAsia" w:ascii="宋体" w:hAnsi="宋体" w:eastAsia="宋体" w:cs="宋体"/>
                <w:i w:val="0"/>
                <w:iCs w:val="0"/>
                <w:caps w:val="0"/>
                <w:color w:val="060A26"/>
                <w:spacing w:val="0"/>
                <w:sz w:val="21"/>
                <w:szCs w:val="21"/>
                <w:shd w:val="clear" w:color="auto" w:fill="FFFFFF"/>
                <w:lang w:eastAsia="zh-CN"/>
              </w:rPr>
              <w:t>。</w:t>
            </w:r>
          </w:p>
        </w:tc>
      </w:tr>
      <w:tr w14:paraId="4553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9" w:type="dxa"/>
            <w:vMerge w:val="continue"/>
            <w:noWrap w:val="0"/>
            <w:vAlign w:val="center"/>
          </w:tcPr>
          <w:p w14:paraId="316EC2A0">
            <w:pPr>
              <w:snapToGrid w:val="0"/>
              <w:spacing w:line="440" w:lineRule="exact"/>
              <w:jc w:val="center"/>
              <w:rPr>
                <w:rFonts w:hint="eastAsia" w:ascii="宋体" w:hAnsi="宋体" w:eastAsia="宋体" w:cs="宋体"/>
                <w:sz w:val="21"/>
                <w:szCs w:val="21"/>
                <w:lang w:eastAsia="zh-CN"/>
              </w:rPr>
            </w:pPr>
          </w:p>
        </w:tc>
        <w:tc>
          <w:tcPr>
            <w:tcW w:w="1472" w:type="dxa"/>
            <w:noWrap w:val="0"/>
            <w:vAlign w:val="center"/>
          </w:tcPr>
          <w:p w14:paraId="38FE5BA9">
            <w:pPr>
              <w:snapToGrid w:val="0"/>
              <w:spacing w:line="440" w:lineRule="exact"/>
              <w:jc w:val="center"/>
              <w:rPr>
                <w:rFonts w:hint="eastAsia" w:ascii="Times New Roman" w:hAnsi="Times New Roman" w:cs="Times New Roman"/>
                <w:color w:val="auto"/>
                <w:szCs w:val="21"/>
                <w:highlight w:val="none"/>
                <w:lang w:eastAsia="zh-CN"/>
              </w:rPr>
            </w:pPr>
            <w:r>
              <w:rPr>
                <w:rFonts w:hint="eastAsia" w:ascii="Times New Roman" w:hAnsi="Times New Roman" w:cs="Times New Roman"/>
                <w:color w:val="auto"/>
                <w:szCs w:val="21"/>
                <w:highlight w:val="none"/>
                <w:lang w:eastAsia="zh-CN"/>
              </w:rPr>
              <w:t>数据报表管理</w:t>
            </w:r>
          </w:p>
        </w:tc>
        <w:tc>
          <w:tcPr>
            <w:tcW w:w="6494" w:type="dxa"/>
            <w:noWrap w:val="0"/>
            <w:vAlign w:val="top"/>
          </w:tcPr>
          <w:p w14:paraId="2FE8B8CC">
            <w:pPr>
              <w:pStyle w:val="74"/>
              <w:numPr>
                <w:ilvl w:val="0"/>
                <w:numId w:val="0"/>
              </w:numPr>
              <w:jc w:val="left"/>
              <w:rPr>
                <w:rFonts w:hint="eastAsia" w:ascii="仿宋" w:hAnsi="仿宋" w:cs="仿宋"/>
                <w:b w:val="0"/>
                <w:bCs w:val="0"/>
                <w:i w:val="0"/>
                <w:iCs w:val="0"/>
                <w:caps w:val="0"/>
                <w:color w:val="060A26"/>
                <w:spacing w:val="5"/>
                <w:sz w:val="21"/>
                <w:szCs w:val="21"/>
                <w:shd w:val="clear" w:color="auto" w:fill="FFFFFF"/>
                <w:lang w:val="en-US" w:eastAsia="zh-CN"/>
              </w:rPr>
            </w:pPr>
            <w:r>
              <w:rPr>
                <w:rFonts w:hint="eastAsia" w:ascii="宋体" w:hAnsi="宋体" w:eastAsia="宋体" w:cs="宋体"/>
                <w:i w:val="0"/>
                <w:iCs w:val="0"/>
                <w:caps w:val="0"/>
                <w:color w:val="060A26"/>
                <w:spacing w:val="0"/>
                <w:sz w:val="21"/>
                <w:szCs w:val="21"/>
                <w:shd w:val="clear" w:color="auto" w:fill="FFFFFF"/>
                <w:lang w:val="en-US" w:eastAsia="zh-CN"/>
              </w:rPr>
              <w:t>系统提供发放、核销、退资全量数据；医保局可调取标准化核销等各类报表。</w:t>
            </w:r>
          </w:p>
        </w:tc>
      </w:tr>
    </w:tbl>
    <w:p w14:paraId="1C128B27">
      <w:pPr>
        <w:keepNext w:val="0"/>
        <w:keepLines w:val="0"/>
        <w:pageBreakBefore w:val="0"/>
        <w:widowControl w:val="0"/>
        <w:kinsoku/>
        <w:wordWrap/>
        <w:overflowPunct/>
        <w:topLinePunct w:val="0"/>
        <w:bidi w:val="0"/>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（四）</w:t>
      </w:r>
      <w:r>
        <w:rPr>
          <w:rFonts w:hint="eastAsia" w:ascii="宋体" w:hAnsi="宋体" w:cs="宋体"/>
          <w:b/>
          <w:bCs/>
          <w:sz w:val="24"/>
          <w:szCs w:val="24"/>
          <w:lang w:val="en-US" w:eastAsia="zh-CN"/>
        </w:rPr>
        <w:t>能力要求</w:t>
      </w:r>
    </w:p>
    <w:tbl>
      <w:tblPr>
        <w:tblStyle w:val="71"/>
        <w:tblW w:w="5152" w:type="pct"/>
        <w:tblInd w:w="-1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46"/>
        <w:gridCol w:w="6982"/>
      </w:tblGrid>
      <w:tr w14:paraId="2BEE5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954" w:type="pct"/>
            <w:tcBorders>
              <w:bottom w:val="single" w:color="auto" w:sz="4" w:space="0"/>
            </w:tcBorders>
            <w:noWrap w:val="0"/>
            <w:vAlign w:val="top"/>
          </w:tcPr>
          <w:p w14:paraId="1DEF1D75">
            <w:pPr>
              <w:spacing w:before="167" w:line="220" w:lineRule="auto"/>
              <w:jc w:val="center"/>
              <w:rPr>
                <w:rFonts w:hint="eastAsia" w:ascii="宋体" w:hAnsi="宋体" w:eastAsia="宋体" w:cs="宋体"/>
                <w:sz w:val="22"/>
                <w:szCs w:val="22"/>
                <w:highlight w:val="none"/>
              </w:rPr>
            </w:pPr>
            <w:r>
              <w:rPr>
                <w:rFonts w:hint="eastAsia" w:ascii="宋体" w:hAnsi="宋体" w:eastAsia="宋体" w:cs="宋体"/>
                <w:spacing w:val="-3"/>
                <w:sz w:val="22"/>
                <w:szCs w:val="22"/>
                <w:highlight w:val="none"/>
                <w:lang w:val="en-US" w:eastAsia="zh-CN"/>
              </w:rPr>
              <w:t>能力要求</w:t>
            </w:r>
          </w:p>
        </w:tc>
        <w:tc>
          <w:tcPr>
            <w:tcW w:w="4045" w:type="pct"/>
            <w:noWrap w:val="0"/>
            <w:vAlign w:val="top"/>
          </w:tcPr>
          <w:p w14:paraId="6380EB5E">
            <w:pPr>
              <w:spacing w:before="167" w:line="220" w:lineRule="auto"/>
              <w:jc w:val="center"/>
              <w:rPr>
                <w:rFonts w:hint="eastAsia" w:ascii="宋体" w:hAnsi="宋体" w:eastAsia="宋体" w:cs="宋体"/>
                <w:sz w:val="22"/>
                <w:szCs w:val="22"/>
                <w:highlight w:val="none"/>
                <w:lang w:val="en-US" w:eastAsia="zh-CN"/>
              </w:rPr>
            </w:pPr>
            <w:r>
              <w:rPr>
                <w:rFonts w:hint="eastAsia" w:ascii="宋体" w:hAnsi="宋体" w:eastAsia="宋体" w:cs="宋体"/>
                <w:spacing w:val="-2"/>
                <w:sz w:val="22"/>
                <w:szCs w:val="22"/>
                <w:highlight w:val="none"/>
                <w:lang w:val="en-US" w:eastAsia="zh-CN"/>
              </w:rPr>
              <w:t>需求描述</w:t>
            </w:r>
          </w:p>
        </w:tc>
      </w:tr>
      <w:tr w14:paraId="389CE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954" w:type="pct"/>
            <w:tcBorders>
              <w:top w:val="single" w:color="auto" w:sz="4" w:space="0"/>
              <w:left w:val="single" w:color="auto" w:sz="4" w:space="0"/>
              <w:bottom w:val="single" w:color="auto" w:sz="4" w:space="0"/>
              <w:right w:val="single" w:color="auto" w:sz="4" w:space="0"/>
            </w:tcBorders>
            <w:noWrap w:val="0"/>
            <w:vAlign w:val="center"/>
          </w:tcPr>
          <w:p w14:paraId="646DFEAB">
            <w:pPr>
              <w:spacing w:before="32" w:line="235" w:lineRule="auto"/>
              <w:ind w:right="138"/>
              <w:jc w:val="left"/>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依法登记设立且信用良好</w:t>
            </w:r>
          </w:p>
        </w:tc>
        <w:tc>
          <w:tcPr>
            <w:tcW w:w="4045" w:type="pct"/>
            <w:tcBorders>
              <w:left w:val="single" w:color="auto" w:sz="4" w:space="0"/>
            </w:tcBorders>
            <w:noWrap w:val="0"/>
            <w:vAlign w:val="center"/>
          </w:tcPr>
          <w:p w14:paraId="585EC81D">
            <w:pPr>
              <w:spacing w:before="32" w:line="235" w:lineRule="auto"/>
              <w:ind w:right="138"/>
              <w:jc w:val="left"/>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日常经营活动中无重大违法记录，未发生重大资金安全风险和隐患。信用良好，未被列入</w:t>
            </w:r>
            <w:r>
              <w:rPr>
                <w:rFonts w:hint="default" w:ascii="宋体" w:hAnsi="宋体" w:eastAsia="宋体" w:cs="宋体"/>
                <w:sz w:val="22"/>
                <w:szCs w:val="22"/>
                <w:highlight w:val="none"/>
                <w:lang w:val="en-US" w:eastAsia="zh-CN"/>
              </w:rPr>
              <w:t>“</w:t>
            </w:r>
            <w:r>
              <w:rPr>
                <w:rFonts w:hint="eastAsia" w:ascii="宋体" w:hAnsi="宋体" w:eastAsia="宋体" w:cs="宋体"/>
                <w:sz w:val="22"/>
                <w:szCs w:val="22"/>
                <w:highlight w:val="none"/>
                <w:lang w:val="en-US" w:eastAsia="zh-CN"/>
              </w:rPr>
              <w:t>失信被执行人或重大税收违法案件当事人名单或政府采购严重违法失信行为记录名单</w:t>
            </w:r>
            <w:r>
              <w:rPr>
                <w:rFonts w:hint="default" w:ascii="宋体" w:hAnsi="宋体" w:eastAsia="宋体" w:cs="宋体"/>
                <w:sz w:val="22"/>
                <w:szCs w:val="22"/>
                <w:highlight w:val="none"/>
                <w:lang w:val="en-US" w:eastAsia="zh-CN"/>
              </w:rPr>
              <w:t>”</w:t>
            </w:r>
            <w:r>
              <w:rPr>
                <w:rFonts w:hint="eastAsia" w:ascii="宋体" w:hAnsi="宋体" w:eastAsia="宋体" w:cs="宋体"/>
                <w:sz w:val="22"/>
                <w:szCs w:val="22"/>
                <w:highlight w:val="none"/>
                <w:lang w:val="en-US" w:eastAsia="zh-CN"/>
              </w:rPr>
              <w:t>、未受到所在行业监管部门的行政处罚等。近三年参加政府采购活动中没有重大违法记录。</w:t>
            </w:r>
          </w:p>
        </w:tc>
      </w:tr>
      <w:tr w14:paraId="00B13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954" w:type="pct"/>
            <w:tcBorders>
              <w:top w:val="single" w:color="auto" w:sz="4" w:space="0"/>
              <w:left w:val="single" w:color="auto" w:sz="4" w:space="0"/>
              <w:bottom w:val="single" w:color="auto" w:sz="4" w:space="0"/>
              <w:right w:val="single" w:color="auto" w:sz="4" w:space="0"/>
            </w:tcBorders>
            <w:noWrap w:val="0"/>
            <w:vAlign w:val="center"/>
          </w:tcPr>
          <w:p w14:paraId="51883F68">
            <w:pPr>
              <w:spacing w:before="32" w:line="235" w:lineRule="auto"/>
              <w:ind w:right="138"/>
              <w:jc w:val="left"/>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具备代收代付业务资质功能</w:t>
            </w:r>
          </w:p>
        </w:tc>
        <w:tc>
          <w:tcPr>
            <w:tcW w:w="4045" w:type="pct"/>
            <w:tcBorders>
              <w:left w:val="single" w:color="auto" w:sz="4" w:space="0"/>
            </w:tcBorders>
            <w:noWrap w:val="0"/>
            <w:vAlign w:val="center"/>
          </w:tcPr>
          <w:p w14:paraId="68BFF706">
            <w:pPr>
              <w:spacing w:before="32" w:line="235" w:lineRule="auto"/>
              <w:ind w:right="138"/>
              <w:jc w:val="left"/>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rPr>
              <w:t>医保缴费券</w:t>
            </w:r>
            <w:r>
              <w:rPr>
                <w:rFonts w:hint="eastAsia" w:ascii="宋体" w:hAnsi="宋体" w:eastAsia="宋体" w:cs="宋体"/>
                <w:sz w:val="22"/>
                <w:szCs w:val="22"/>
                <w:highlight w:val="none"/>
                <w:lang w:val="en-US" w:eastAsia="zh-CN"/>
              </w:rPr>
              <w:t>定向</w:t>
            </w:r>
            <w:r>
              <w:rPr>
                <w:rFonts w:hint="eastAsia" w:ascii="宋体" w:hAnsi="宋体" w:eastAsia="宋体" w:cs="宋体"/>
                <w:sz w:val="22"/>
                <w:szCs w:val="22"/>
                <w:highlight w:val="none"/>
              </w:rPr>
              <w:t>发放平台需具备国家金融主管或监管部门许可的银行卡清算、银行卡业务或支付结算等经营范围，具有代收代付业务，可以现金转账方式代</w:t>
            </w:r>
            <w:r>
              <w:rPr>
                <w:rFonts w:hint="eastAsia" w:ascii="宋体" w:hAnsi="宋体" w:eastAsia="宋体" w:cs="宋体"/>
                <w:sz w:val="22"/>
                <w:szCs w:val="22"/>
                <w:highlight w:val="none"/>
                <w:lang w:val="en-US" w:eastAsia="zh-CN"/>
              </w:rPr>
              <w:t>收需求发券主体资金，支持未使用资金原路退回。</w:t>
            </w:r>
          </w:p>
        </w:tc>
      </w:tr>
      <w:tr w14:paraId="53772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954" w:type="pct"/>
            <w:tcBorders>
              <w:top w:val="single" w:color="auto" w:sz="4" w:space="0"/>
              <w:left w:val="single" w:color="auto" w:sz="4" w:space="0"/>
              <w:bottom w:val="single" w:color="auto" w:sz="4" w:space="0"/>
              <w:right w:val="single" w:color="auto" w:sz="4" w:space="0"/>
            </w:tcBorders>
            <w:noWrap w:val="0"/>
            <w:vAlign w:val="center"/>
          </w:tcPr>
          <w:p w14:paraId="3604D314">
            <w:pPr>
              <w:spacing w:before="32" w:line="235" w:lineRule="auto"/>
              <w:ind w:right="138"/>
              <w:jc w:val="left"/>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rPr>
              <w:t>具备较强风险管控和诉求应对能力。</w:t>
            </w:r>
          </w:p>
        </w:tc>
        <w:tc>
          <w:tcPr>
            <w:tcW w:w="4045" w:type="pct"/>
            <w:tcBorders>
              <w:left w:val="single" w:color="auto" w:sz="4" w:space="0"/>
            </w:tcBorders>
            <w:noWrap w:val="0"/>
            <w:vAlign w:val="top"/>
          </w:tcPr>
          <w:p w14:paraId="78FCD3F7">
            <w:pPr>
              <w:spacing w:before="32" w:line="235" w:lineRule="auto"/>
              <w:ind w:right="138"/>
              <w:jc w:val="left"/>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rPr>
              <w:t>拥有成熟的客户投诉处理机制和消费者权益保障机制，有稳定的本地专业团队能够及时解决医保缴费券发放、使用中遇到的各项问题、咨询及投诉，有效防范舆情发生。</w:t>
            </w:r>
          </w:p>
        </w:tc>
      </w:tr>
      <w:tr w14:paraId="0E083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954" w:type="pct"/>
            <w:tcBorders>
              <w:top w:val="single" w:color="auto" w:sz="4" w:space="0"/>
              <w:left w:val="single" w:color="auto" w:sz="4" w:space="0"/>
              <w:bottom w:val="single" w:color="auto" w:sz="4" w:space="0"/>
              <w:right w:val="single" w:color="auto" w:sz="4" w:space="0"/>
            </w:tcBorders>
            <w:noWrap w:val="0"/>
            <w:vAlign w:val="center"/>
          </w:tcPr>
          <w:p w14:paraId="4FE3793A">
            <w:pPr>
              <w:spacing w:before="32" w:line="235" w:lineRule="auto"/>
              <w:ind w:right="138"/>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具备较强的宣传推广能力</w:t>
            </w:r>
          </w:p>
        </w:tc>
        <w:tc>
          <w:tcPr>
            <w:tcW w:w="4045" w:type="pct"/>
            <w:tcBorders>
              <w:left w:val="single" w:color="auto" w:sz="4" w:space="0"/>
            </w:tcBorders>
            <w:noWrap w:val="0"/>
            <w:vAlign w:val="top"/>
          </w:tcPr>
          <w:p w14:paraId="3C97DBCF">
            <w:pPr>
              <w:spacing w:before="32" w:line="235" w:lineRule="auto"/>
              <w:ind w:right="138"/>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参与医保缴费券发放的服务平台应承诺匹配平台营销资源，放大消费券发放活动效果与声量。</w:t>
            </w:r>
          </w:p>
        </w:tc>
      </w:tr>
    </w:tbl>
    <w:p w14:paraId="1F212B26">
      <w:pPr>
        <w:pStyle w:val="6"/>
        <w:rPr>
          <w:rFonts w:hint="eastAsia"/>
        </w:rPr>
      </w:pPr>
    </w:p>
    <w:p w14:paraId="4D008EDD">
      <w:pPr>
        <w:rPr>
          <w:rFonts w:hint="eastAsia" w:ascii="宋体" w:hAnsi="宋体" w:eastAsia="宋体" w:cs="宋体"/>
          <w:b/>
          <w:color w:val="auto"/>
          <w:sz w:val="28"/>
          <w:highlight w:val="none"/>
        </w:rPr>
      </w:pPr>
      <w:bookmarkStart w:id="76" w:name="_Toc9944"/>
      <w:r>
        <w:rPr>
          <w:rFonts w:hint="eastAsia" w:ascii="宋体" w:hAnsi="宋体" w:eastAsia="宋体" w:cs="宋体"/>
          <w:b/>
          <w:color w:val="auto"/>
          <w:sz w:val="28"/>
          <w:highlight w:val="none"/>
        </w:rPr>
        <w:br w:type="page"/>
      </w:r>
    </w:p>
    <w:p w14:paraId="5FABCD5F">
      <w:pPr>
        <w:spacing w:line="360" w:lineRule="auto"/>
        <w:jc w:val="center"/>
        <w:outlineLvl w:val="0"/>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第四章  评审方法和标准</w:t>
      </w:r>
      <w:bookmarkEnd w:id="76"/>
    </w:p>
    <w:p w14:paraId="30C5789E">
      <w:pPr>
        <w:spacing w:line="360" w:lineRule="auto"/>
        <w:ind w:firstLine="437"/>
        <w:outlineLvl w:val="1"/>
        <w:rPr>
          <w:rFonts w:hint="eastAsia" w:ascii="宋体" w:hAnsi="宋体" w:eastAsia="宋体" w:cs="宋体"/>
          <w:b/>
          <w:color w:val="auto"/>
          <w:sz w:val="24"/>
          <w:highlight w:val="none"/>
        </w:rPr>
      </w:pPr>
      <w:bookmarkStart w:id="77" w:name="_Toc21211"/>
      <w:bookmarkStart w:id="78" w:name="_Toc12199"/>
      <w:bookmarkStart w:id="79" w:name="_Toc30385"/>
      <w:bookmarkStart w:id="80" w:name="_Toc6595"/>
      <w:r>
        <w:rPr>
          <w:rFonts w:hint="eastAsia" w:ascii="宋体" w:hAnsi="宋体" w:eastAsia="宋体" w:cs="宋体"/>
          <w:b/>
          <w:color w:val="auto"/>
          <w:sz w:val="24"/>
          <w:highlight w:val="none"/>
        </w:rPr>
        <w:t>一、总则</w:t>
      </w:r>
      <w:bookmarkEnd w:id="77"/>
      <w:bookmarkEnd w:id="78"/>
      <w:bookmarkEnd w:id="79"/>
      <w:bookmarkEnd w:id="80"/>
    </w:p>
    <w:p w14:paraId="3D00923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第二章 供应商须知的相关要求及本章的规定评审。</w:t>
      </w:r>
    </w:p>
    <w:p w14:paraId="221916BF">
      <w:pPr>
        <w:spacing w:line="360" w:lineRule="auto"/>
        <w:ind w:firstLine="437"/>
        <w:outlineLvl w:val="1"/>
        <w:rPr>
          <w:rFonts w:hint="eastAsia" w:ascii="宋体" w:hAnsi="宋体" w:eastAsia="宋体" w:cs="宋体"/>
          <w:b/>
          <w:color w:val="auto"/>
          <w:sz w:val="24"/>
          <w:highlight w:val="none"/>
        </w:rPr>
      </w:pPr>
      <w:bookmarkStart w:id="81" w:name="_Toc6032"/>
      <w:bookmarkStart w:id="82" w:name="_Toc12171"/>
      <w:bookmarkStart w:id="83" w:name="_Toc16885"/>
      <w:bookmarkStart w:id="84" w:name="_Toc13039"/>
      <w:r>
        <w:rPr>
          <w:rFonts w:hint="eastAsia" w:ascii="宋体" w:hAnsi="宋体" w:eastAsia="宋体" w:cs="宋体"/>
          <w:b/>
          <w:color w:val="auto"/>
          <w:sz w:val="24"/>
          <w:highlight w:val="none"/>
        </w:rPr>
        <w:t>二、评审方法</w:t>
      </w:r>
      <w:bookmarkEnd w:id="81"/>
      <w:bookmarkEnd w:id="82"/>
      <w:bookmarkEnd w:id="83"/>
      <w:bookmarkEnd w:id="84"/>
    </w:p>
    <w:p w14:paraId="656D388D">
      <w:pPr>
        <w:spacing w:line="360" w:lineRule="auto"/>
        <w:ind w:firstLine="435"/>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2.1初审</w:t>
      </w:r>
    </w:p>
    <w:tbl>
      <w:tblPr>
        <w:tblStyle w:val="24"/>
        <w:tblW w:w="56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636"/>
        <w:gridCol w:w="1717"/>
        <w:gridCol w:w="3843"/>
        <w:gridCol w:w="3355"/>
      </w:tblGrid>
      <w:tr w14:paraId="396D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vAlign w:val="center"/>
          </w:tcPr>
          <w:p w14:paraId="7D9F410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szCs w:val="22"/>
                <w:highlight w:val="none"/>
              </w:rPr>
              <w:t>初审表</w:t>
            </w:r>
          </w:p>
        </w:tc>
      </w:tr>
      <w:tr w14:paraId="6D20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vAlign w:val="center"/>
          </w:tcPr>
          <w:p w14:paraId="6E72EB83">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color w:val="auto"/>
                <w:sz w:val="24"/>
                <w:szCs w:val="22"/>
                <w:highlight w:val="none"/>
                <w:lang w:val="en-US" w:eastAsia="zh-CN"/>
              </w:rPr>
            </w:pPr>
            <w:r>
              <w:rPr>
                <w:rFonts w:hint="eastAsia" w:ascii="宋体" w:hAnsi="宋体" w:eastAsia="宋体" w:cs="宋体"/>
                <w:b/>
                <w:color w:val="auto"/>
                <w:sz w:val="24"/>
                <w:szCs w:val="22"/>
                <w:highlight w:val="none"/>
                <w:lang w:val="en-US" w:eastAsia="zh-CN"/>
              </w:rPr>
              <w:t>资格审查</w:t>
            </w:r>
          </w:p>
        </w:tc>
      </w:tr>
      <w:tr w14:paraId="20B1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85" w:hRule="atLeast"/>
          <w:jc w:val="center"/>
        </w:trPr>
        <w:tc>
          <w:tcPr>
            <w:tcW w:w="332" w:type="pct"/>
            <w:tcBorders>
              <w:bottom w:val="single" w:color="auto" w:sz="4" w:space="0"/>
            </w:tcBorders>
            <w:vAlign w:val="center"/>
          </w:tcPr>
          <w:p w14:paraId="10D0E8F6">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序号</w:t>
            </w:r>
          </w:p>
        </w:tc>
        <w:tc>
          <w:tcPr>
            <w:tcW w:w="898" w:type="pct"/>
            <w:tcBorders>
              <w:bottom w:val="single" w:color="auto" w:sz="4" w:space="0"/>
            </w:tcBorders>
            <w:vAlign w:val="center"/>
          </w:tcPr>
          <w:p w14:paraId="4AE15E88">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textAlignment w:val="auto"/>
              <w:rPr>
                <w:rFonts w:hint="eastAsia" w:ascii="宋体" w:hAnsi="宋体" w:eastAsia="宋体" w:cs="宋体"/>
                <w:b/>
                <w:bCs/>
                <w:color w:val="auto"/>
                <w:kern w:val="2"/>
                <w:szCs w:val="24"/>
                <w:highlight w:val="none"/>
              </w:rPr>
            </w:pPr>
            <w:r>
              <w:rPr>
                <w:rFonts w:hint="eastAsia" w:ascii="宋体" w:hAnsi="宋体" w:eastAsia="宋体" w:cs="宋体"/>
                <w:b/>
                <w:bCs/>
                <w:color w:val="auto"/>
                <w:kern w:val="2"/>
                <w:szCs w:val="24"/>
                <w:highlight w:val="none"/>
              </w:rPr>
              <w:t>审查指标</w:t>
            </w:r>
          </w:p>
        </w:tc>
        <w:tc>
          <w:tcPr>
            <w:tcW w:w="2012" w:type="pct"/>
            <w:tcBorders>
              <w:bottom w:val="single" w:color="auto" w:sz="4" w:space="0"/>
            </w:tcBorders>
            <w:vAlign w:val="center"/>
          </w:tcPr>
          <w:p w14:paraId="3CBBA343">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审查标准</w:t>
            </w:r>
          </w:p>
        </w:tc>
        <w:tc>
          <w:tcPr>
            <w:tcW w:w="1756" w:type="pct"/>
            <w:tcBorders>
              <w:bottom w:val="single" w:color="auto" w:sz="4" w:space="0"/>
            </w:tcBorders>
            <w:vAlign w:val="center"/>
          </w:tcPr>
          <w:p w14:paraId="6FBCD864">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格式要求</w:t>
            </w:r>
          </w:p>
        </w:tc>
      </w:tr>
      <w:tr w14:paraId="5CA2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35" w:hRule="atLeast"/>
          <w:jc w:val="center"/>
        </w:trPr>
        <w:tc>
          <w:tcPr>
            <w:tcW w:w="332" w:type="pct"/>
            <w:tcBorders>
              <w:bottom w:val="single" w:color="auto" w:sz="4" w:space="0"/>
            </w:tcBorders>
            <w:vAlign w:val="center"/>
          </w:tcPr>
          <w:p w14:paraId="602FFC80">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898" w:type="pct"/>
            <w:tcBorders>
              <w:bottom w:val="single" w:color="auto" w:sz="4" w:space="0"/>
            </w:tcBorders>
            <w:vAlign w:val="center"/>
          </w:tcPr>
          <w:p w14:paraId="21871008">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2012" w:type="pct"/>
            <w:tcBorders>
              <w:bottom w:val="single" w:color="auto" w:sz="4" w:space="0"/>
            </w:tcBorders>
            <w:vAlign w:val="center"/>
          </w:tcPr>
          <w:p w14:paraId="3D25CCA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（1）供应商为企业（包括合伙企业）的，应提供有效的营业执照；</w:t>
            </w:r>
          </w:p>
          <w:p w14:paraId="2C8A99D4">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（2）供应商为事业单位的，应提供有效的事业单位法人证书；</w:t>
            </w:r>
          </w:p>
          <w:p w14:paraId="272AD0EB">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（3）供应商是非企业机构的，应提供有效的执业许可证或登记证书等证明文件；</w:t>
            </w:r>
          </w:p>
          <w:p w14:paraId="4AAEF603">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（4）供应商是个体工商户的，应提供有效的个体工商户营业执照；</w:t>
            </w:r>
          </w:p>
          <w:p w14:paraId="27587547">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（5）供应商是自然人的，应提供有效的自然人身份证明。</w:t>
            </w:r>
          </w:p>
        </w:tc>
        <w:tc>
          <w:tcPr>
            <w:tcW w:w="1756" w:type="pct"/>
            <w:vAlign w:val="center"/>
          </w:tcPr>
          <w:p w14:paraId="465BC402">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提供材料扫描件，应完整的体现出材料全部内容。联合体的联合体各方均须提供。</w:t>
            </w:r>
          </w:p>
        </w:tc>
      </w:tr>
      <w:tr w14:paraId="7F79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6" w:hRule="atLeast"/>
          <w:jc w:val="center"/>
        </w:trPr>
        <w:tc>
          <w:tcPr>
            <w:tcW w:w="332" w:type="pct"/>
            <w:tcBorders>
              <w:bottom w:val="single" w:color="auto" w:sz="4" w:space="0"/>
            </w:tcBorders>
            <w:vAlign w:val="center"/>
          </w:tcPr>
          <w:p w14:paraId="74040ABB">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898" w:type="pct"/>
            <w:tcBorders>
              <w:bottom w:val="single" w:color="auto" w:sz="4" w:space="0"/>
            </w:tcBorders>
            <w:vAlign w:val="center"/>
          </w:tcPr>
          <w:p w14:paraId="4AED9FCF">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18"/>
                <w:highlight w:val="none"/>
              </w:rPr>
              <w:t>供应商资格声明书</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18"/>
                <w:highlight w:val="none"/>
                <w:lang w:val="en-US" w:eastAsia="zh-CN"/>
              </w:rPr>
              <w:t>资格承诺</w:t>
            </w:r>
          </w:p>
        </w:tc>
        <w:tc>
          <w:tcPr>
            <w:tcW w:w="2012" w:type="pct"/>
            <w:tcBorders>
              <w:bottom w:val="single" w:color="auto" w:sz="4" w:space="0"/>
            </w:tcBorders>
            <w:vAlign w:val="center"/>
          </w:tcPr>
          <w:p w14:paraId="21C7A4B8">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提供符合</w:t>
            </w:r>
            <w:r>
              <w:rPr>
                <w:rFonts w:hint="eastAsia" w:ascii="宋体" w:hAnsi="宋体" w:cs="宋体"/>
                <w:color w:val="auto"/>
                <w:sz w:val="24"/>
                <w:szCs w:val="24"/>
                <w:highlight w:val="none"/>
                <w:lang w:eastAsia="zh-CN"/>
              </w:rPr>
              <w:t>发包文件</w:t>
            </w:r>
            <w:r>
              <w:rPr>
                <w:rFonts w:hint="eastAsia" w:ascii="宋体" w:hAnsi="宋体" w:eastAsia="宋体" w:cs="宋体"/>
                <w:color w:val="auto"/>
                <w:sz w:val="24"/>
                <w:szCs w:val="24"/>
                <w:highlight w:val="none"/>
              </w:rPr>
              <w:t>要求的《供应商资格声明书》《无重大违法记录声明函、无不良信用记录承诺函》</w:t>
            </w:r>
          </w:p>
        </w:tc>
        <w:tc>
          <w:tcPr>
            <w:tcW w:w="1756" w:type="pct"/>
            <w:vAlign w:val="center"/>
          </w:tcPr>
          <w:p w14:paraId="788ABCF6">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详见第六章响应文件格式。</w:t>
            </w:r>
          </w:p>
        </w:tc>
      </w:tr>
      <w:tr w14:paraId="308D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vAlign w:val="center"/>
          </w:tcPr>
          <w:p w14:paraId="5DECB0F9">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898" w:type="pct"/>
            <w:tcBorders>
              <w:bottom w:val="single" w:color="auto" w:sz="4" w:space="0"/>
            </w:tcBorders>
            <w:vAlign w:val="center"/>
          </w:tcPr>
          <w:p w14:paraId="4A120F2E">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18"/>
                <w:highlight w:val="none"/>
              </w:rPr>
              <w:t>供应商</w:t>
            </w:r>
            <w:r>
              <w:rPr>
                <w:rFonts w:hint="eastAsia" w:ascii="宋体" w:hAnsi="宋体" w:eastAsia="宋体" w:cs="宋体"/>
                <w:color w:val="auto"/>
                <w:sz w:val="24"/>
                <w:szCs w:val="24"/>
                <w:highlight w:val="none"/>
              </w:rPr>
              <w:t>信用记录</w:t>
            </w:r>
          </w:p>
        </w:tc>
        <w:tc>
          <w:tcPr>
            <w:tcW w:w="2012" w:type="pct"/>
            <w:tcBorders>
              <w:bottom w:val="single" w:color="auto" w:sz="4" w:space="0"/>
            </w:tcBorders>
            <w:vAlign w:val="center"/>
          </w:tcPr>
          <w:p w14:paraId="0594C95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不得存在</w:t>
            </w: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条中</w:t>
            </w:r>
            <w:r>
              <w:rPr>
                <w:rFonts w:hint="eastAsia" w:ascii="宋体" w:hAnsi="宋体" w:eastAsia="宋体" w:cs="宋体"/>
                <w:color w:val="auto"/>
                <w:sz w:val="24"/>
                <w:szCs w:val="28"/>
                <w:highlight w:val="none"/>
              </w:rPr>
              <w:t>的</w:t>
            </w:r>
            <w:r>
              <w:rPr>
                <w:rFonts w:hint="eastAsia" w:ascii="宋体" w:hAnsi="宋体" w:eastAsia="宋体" w:cs="宋体"/>
                <w:color w:val="auto"/>
                <w:sz w:val="24"/>
                <w:szCs w:val="18"/>
                <w:highlight w:val="none"/>
              </w:rPr>
              <w:t>不良信用记录情形</w:t>
            </w:r>
          </w:p>
        </w:tc>
        <w:tc>
          <w:tcPr>
            <w:tcW w:w="1756" w:type="pct"/>
            <w:tcBorders>
              <w:bottom w:val="single" w:color="auto" w:sz="4" w:space="0"/>
            </w:tcBorders>
            <w:vAlign w:val="center"/>
          </w:tcPr>
          <w:p w14:paraId="0598298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eastAsia="zh-CN"/>
              </w:rPr>
              <w:t>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(含联合体成员)进行查询，以“信用中国(www.creditchina.gov.cn)”</w:t>
            </w:r>
            <w:r>
              <w:rPr>
                <w:rFonts w:hint="eastAsia" w:ascii="宋体" w:hAnsi="宋体" w:eastAsia="宋体" w:cs="宋体"/>
                <w:color w:val="auto"/>
                <w:sz w:val="24"/>
                <w:szCs w:val="24"/>
                <w:highlight w:val="none"/>
                <w:lang w:eastAsia="zh-CN"/>
              </w:rPr>
              <w:t>网站</w:t>
            </w:r>
            <w:r>
              <w:rPr>
                <w:rFonts w:hint="eastAsia" w:ascii="宋体" w:hAnsi="宋体" w:eastAsia="宋体" w:cs="宋体"/>
                <w:color w:val="auto"/>
                <w:sz w:val="24"/>
                <w:szCs w:val="24"/>
                <w:highlight w:val="none"/>
              </w:rPr>
              <w:t>查询为准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现场对查询结果截图存档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网站</w:t>
            </w:r>
            <w:r>
              <w:rPr>
                <w:rFonts w:hint="eastAsia" w:ascii="宋体" w:hAnsi="宋体" w:eastAsia="宋体" w:cs="宋体"/>
                <w:color w:val="auto"/>
                <w:sz w:val="24"/>
                <w:szCs w:val="24"/>
                <w:highlight w:val="none"/>
              </w:rPr>
              <w:t>查询有故障的，则此项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1175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vAlign w:val="center"/>
          </w:tcPr>
          <w:p w14:paraId="0073EBB6">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4</w:t>
            </w:r>
          </w:p>
        </w:tc>
        <w:tc>
          <w:tcPr>
            <w:tcW w:w="898" w:type="pct"/>
            <w:tcBorders>
              <w:bottom w:val="single" w:color="auto" w:sz="4" w:space="0"/>
            </w:tcBorders>
            <w:vAlign w:val="center"/>
          </w:tcPr>
          <w:p w14:paraId="12650CCD">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本项目对于联合</w:t>
            </w:r>
            <w:r>
              <w:rPr>
                <w:rFonts w:hint="eastAsia" w:ascii="宋体" w:hAnsi="宋体" w:eastAsia="宋体" w:cs="宋体"/>
                <w:color w:val="auto"/>
                <w:spacing w:val="-2"/>
                <w:sz w:val="24"/>
                <w:szCs w:val="24"/>
                <w:highlight w:val="none"/>
              </w:rPr>
              <w:t>体的要求（</w:t>
            </w:r>
            <w:r>
              <w:rPr>
                <w:rFonts w:hint="eastAsia" w:ascii="宋体" w:hAnsi="宋体" w:eastAsia="宋体" w:cs="宋体"/>
                <w:i/>
                <w:iCs/>
                <w:color w:val="auto"/>
                <w:spacing w:val="-2"/>
                <w:sz w:val="24"/>
                <w:szCs w:val="24"/>
                <w:highlight w:val="none"/>
              </w:rPr>
              <w:t>适用于接受联合体项目</w:t>
            </w:r>
            <w:r>
              <w:rPr>
                <w:rFonts w:hint="eastAsia" w:ascii="宋体" w:hAnsi="宋体" w:eastAsia="宋体" w:cs="宋体"/>
                <w:color w:val="auto"/>
                <w:spacing w:val="-2"/>
                <w:sz w:val="24"/>
                <w:szCs w:val="24"/>
                <w:highlight w:val="none"/>
              </w:rPr>
              <w:t>）</w:t>
            </w:r>
          </w:p>
        </w:tc>
        <w:tc>
          <w:tcPr>
            <w:tcW w:w="2012" w:type="pct"/>
            <w:tcBorders>
              <w:bottom w:val="single" w:color="auto" w:sz="4" w:space="0"/>
            </w:tcBorders>
            <w:vAlign w:val="center"/>
          </w:tcPr>
          <w:p w14:paraId="5457CB3C">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联合体的</w:t>
            </w:r>
            <w:r>
              <w:rPr>
                <w:rFonts w:hint="eastAsia" w:ascii="宋体" w:hAnsi="宋体" w:cs="宋体"/>
                <w:color w:val="auto"/>
                <w:spacing w:val="-2"/>
                <w:sz w:val="24"/>
                <w:szCs w:val="24"/>
                <w:highlight w:val="none"/>
                <w:lang w:val="en-US" w:eastAsia="zh-CN"/>
              </w:rPr>
              <w:t>要求</w:t>
            </w:r>
            <w:r>
              <w:rPr>
                <w:rFonts w:hint="eastAsia" w:ascii="宋体" w:hAnsi="宋体" w:eastAsia="宋体" w:cs="宋体"/>
                <w:color w:val="auto"/>
                <w:spacing w:val="10"/>
                <w:sz w:val="24"/>
                <w:szCs w:val="24"/>
                <w:highlight w:val="none"/>
              </w:rPr>
              <w:t>详见</w:t>
            </w: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须知正文第</w:t>
            </w:r>
            <w:r>
              <w:rPr>
                <w:rFonts w:hint="eastAsia" w:ascii="宋体" w:hAnsi="宋体" w:eastAsia="宋体" w:cs="宋体"/>
                <w:color w:val="auto"/>
                <w:sz w:val="24"/>
                <w:szCs w:val="24"/>
                <w:highlight w:val="none"/>
              </w:rPr>
              <w:t>1.5，且</w:t>
            </w:r>
            <w:r>
              <w:rPr>
                <w:rFonts w:hint="eastAsia" w:ascii="宋体" w:hAnsi="宋体" w:eastAsia="宋体" w:cs="宋体"/>
                <w:color w:val="auto"/>
                <w:spacing w:val="10"/>
                <w:sz w:val="24"/>
                <w:szCs w:val="24"/>
                <w:highlight w:val="none"/>
              </w:rPr>
              <w:t>提供《联合协议》。</w:t>
            </w:r>
          </w:p>
        </w:tc>
        <w:tc>
          <w:tcPr>
            <w:tcW w:w="1756" w:type="pct"/>
            <w:tcBorders>
              <w:bottom w:val="single" w:color="auto" w:sz="4" w:space="0"/>
            </w:tcBorders>
            <w:vAlign w:val="center"/>
          </w:tcPr>
          <w:p w14:paraId="6C954B40">
            <w:pPr>
              <w:keepNext w:val="0"/>
              <w:keepLines w:val="0"/>
              <w:pageBreakBefore w:val="0"/>
              <w:widowControl w:val="0"/>
              <w:kinsoku/>
              <w:wordWrap/>
              <w:overflowPunct/>
              <w:topLinePunct w:val="0"/>
              <w:autoSpaceDE/>
              <w:autoSpaceDN/>
              <w:bidi w:val="0"/>
              <w:spacing w:line="360" w:lineRule="exact"/>
              <w:ind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《联合协议》</w:t>
            </w:r>
            <w:r>
              <w:rPr>
                <w:rFonts w:hint="eastAsia" w:ascii="宋体" w:hAnsi="宋体" w:eastAsia="宋体" w:cs="宋体"/>
                <w:color w:val="auto"/>
                <w:sz w:val="24"/>
                <w:highlight w:val="none"/>
              </w:rPr>
              <w:t>详见第六章响应文件格式。</w:t>
            </w:r>
          </w:p>
        </w:tc>
      </w:tr>
      <w:tr w14:paraId="6BC9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3B5BEB7B">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p>
        </w:tc>
        <w:tc>
          <w:tcPr>
            <w:tcW w:w="898" w:type="pct"/>
            <w:vAlign w:val="center"/>
          </w:tcPr>
          <w:p w14:paraId="1C234846">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其他特定资格要求</w:t>
            </w:r>
          </w:p>
        </w:tc>
        <w:tc>
          <w:tcPr>
            <w:tcW w:w="2012" w:type="pct"/>
            <w:vAlign w:val="center"/>
          </w:tcPr>
          <w:p w14:paraId="4F154F33">
            <w:pPr>
              <w:keepNext w:val="0"/>
              <w:keepLines w:val="0"/>
              <w:pageBreakBefore w:val="0"/>
              <w:widowControl w:val="0"/>
              <w:kinsoku/>
              <w:wordWrap/>
              <w:overflowPunct/>
              <w:topLinePunct w:val="0"/>
              <w:autoSpaceDE/>
              <w:autoSpaceDN/>
              <w:bidi w:val="0"/>
              <w:spacing w:line="360" w:lineRule="exact"/>
              <w:ind w:right="0"/>
              <w:jc w:val="both"/>
              <w:textAlignment w:val="auto"/>
              <w:rPr>
                <w:rFonts w:hint="default"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rPr>
              <w:t>如有，见</w:t>
            </w:r>
            <w:r>
              <w:rPr>
                <w:rFonts w:hint="eastAsia" w:ascii="宋体" w:hAnsi="宋体" w:eastAsia="宋体" w:cs="宋体"/>
                <w:color w:val="auto"/>
                <w:spacing w:val="10"/>
                <w:sz w:val="24"/>
                <w:szCs w:val="24"/>
                <w:highlight w:val="none"/>
                <w:lang w:val="en-US" w:eastAsia="zh-CN"/>
              </w:rPr>
              <w:t>采购公告</w:t>
            </w:r>
          </w:p>
        </w:tc>
        <w:tc>
          <w:tcPr>
            <w:tcW w:w="1756" w:type="pct"/>
            <w:vAlign w:val="center"/>
          </w:tcPr>
          <w:p w14:paraId="1D63CC92">
            <w:pPr>
              <w:keepNext w:val="0"/>
              <w:keepLines w:val="0"/>
              <w:pageBreakBefore w:val="0"/>
              <w:widowControl w:val="0"/>
              <w:kinsoku/>
              <w:wordWrap/>
              <w:overflowPunct/>
              <w:topLinePunct w:val="0"/>
              <w:autoSpaceDE/>
              <w:autoSpaceDN/>
              <w:bidi w:val="0"/>
              <w:spacing w:line="360" w:lineRule="exact"/>
              <w:ind w:right="0"/>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提供材料扫描件，应完整体现出材料全部内容。</w:t>
            </w:r>
          </w:p>
        </w:tc>
      </w:tr>
      <w:tr w14:paraId="4718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50" w:hRule="atLeast"/>
          <w:jc w:val="center"/>
        </w:trPr>
        <w:tc>
          <w:tcPr>
            <w:tcW w:w="5000" w:type="pct"/>
            <w:gridSpan w:val="4"/>
            <w:vAlign w:val="center"/>
          </w:tcPr>
          <w:p w14:paraId="79AD9769">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符合性评审</w:t>
            </w:r>
          </w:p>
        </w:tc>
      </w:tr>
      <w:tr w14:paraId="34BF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0" w:hRule="atLeast"/>
          <w:jc w:val="center"/>
        </w:trPr>
        <w:tc>
          <w:tcPr>
            <w:tcW w:w="332" w:type="pct"/>
            <w:shd w:val="clear" w:color="auto" w:fill="auto"/>
            <w:vAlign w:val="center"/>
          </w:tcPr>
          <w:p w14:paraId="2F299345">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b/>
                <w:bCs/>
                <w:color w:val="auto"/>
                <w:kern w:val="2"/>
                <w:sz w:val="24"/>
                <w:highlight w:val="none"/>
                <w:lang w:val="en-US" w:eastAsia="zh-CN" w:bidi="ar-SA"/>
              </w:rPr>
            </w:pPr>
            <w:r>
              <w:rPr>
                <w:rFonts w:hint="eastAsia" w:ascii="宋体" w:hAnsi="宋体" w:eastAsia="宋体" w:cs="宋体"/>
                <w:b/>
                <w:bCs/>
                <w:color w:val="auto"/>
                <w:sz w:val="24"/>
                <w:highlight w:val="none"/>
              </w:rPr>
              <w:t>序号</w:t>
            </w:r>
          </w:p>
        </w:tc>
        <w:tc>
          <w:tcPr>
            <w:tcW w:w="898" w:type="pct"/>
            <w:shd w:val="clear" w:color="auto" w:fill="auto"/>
            <w:vAlign w:val="center"/>
          </w:tcPr>
          <w:p w14:paraId="4A45ED35">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Cs w:val="24"/>
                <w:highlight w:val="none"/>
              </w:rPr>
              <w:t>审查指标</w:t>
            </w:r>
          </w:p>
        </w:tc>
        <w:tc>
          <w:tcPr>
            <w:tcW w:w="2012" w:type="pct"/>
            <w:shd w:val="clear" w:color="auto" w:fill="auto"/>
            <w:vAlign w:val="center"/>
          </w:tcPr>
          <w:p w14:paraId="4E41E049">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b/>
                <w:bCs/>
                <w:color w:val="auto"/>
                <w:kern w:val="2"/>
                <w:sz w:val="24"/>
                <w:highlight w:val="none"/>
                <w:lang w:val="en-US" w:eastAsia="zh-CN" w:bidi="ar-SA"/>
              </w:rPr>
            </w:pPr>
            <w:r>
              <w:rPr>
                <w:rFonts w:hint="eastAsia" w:ascii="宋体" w:hAnsi="宋体" w:eastAsia="宋体" w:cs="宋体"/>
                <w:b/>
                <w:bCs/>
                <w:color w:val="auto"/>
                <w:sz w:val="24"/>
                <w:highlight w:val="none"/>
              </w:rPr>
              <w:t>审查标准</w:t>
            </w:r>
          </w:p>
        </w:tc>
        <w:tc>
          <w:tcPr>
            <w:tcW w:w="1756" w:type="pct"/>
            <w:shd w:val="clear" w:color="auto" w:fill="auto"/>
            <w:vAlign w:val="center"/>
          </w:tcPr>
          <w:p w14:paraId="276938AC">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b/>
                <w:bCs/>
                <w:color w:val="auto"/>
                <w:kern w:val="2"/>
                <w:sz w:val="24"/>
                <w:highlight w:val="none"/>
                <w:lang w:val="en-US" w:eastAsia="zh-CN" w:bidi="ar-SA"/>
              </w:rPr>
            </w:pPr>
            <w:r>
              <w:rPr>
                <w:rFonts w:hint="eastAsia" w:ascii="宋体" w:hAnsi="宋体" w:eastAsia="宋体" w:cs="宋体"/>
                <w:b/>
                <w:bCs/>
                <w:color w:val="auto"/>
                <w:sz w:val="24"/>
                <w:highlight w:val="none"/>
              </w:rPr>
              <w:t>格式要求</w:t>
            </w:r>
          </w:p>
        </w:tc>
      </w:tr>
      <w:tr w14:paraId="59AA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3659CF14">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p>
        </w:tc>
        <w:tc>
          <w:tcPr>
            <w:tcW w:w="898" w:type="pct"/>
            <w:vAlign w:val="center"/>
          </w:tcPr>
          <w:p w14:paraId="46D18DFE">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响应函</w:t>
            </w:r>
          </w:p>
        </w:tc>
        <w:tc>
          <w:tcPr>
            <w:tcW w:w="2012" w:type="pct"/>
            <w:vAlign w:val="center"/>
          </w:tcPr>
          <w:p w14:paraId="01A45ABC">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szCs w:val="28"/>
                <w:highlight w:val="none"/>
              </w:rPr>
              <w:t>格式、填写要求符合</w:t>
            </w:r>
            <w:r>
              <w:rPr>
                <w:rFonts w:hint="eastAsia" w:ascii="宋体" w:hAnsi="宋体" w:cs="宋体"/>
                <w:color w:val="auto"/>
                <w:sz w:val="24"/>
                <w:szCs w:val="28"/>
                <w:highlight w:val="none"/>
                <w:lang w:eastAsia="zh-CN"/>
              </w:rPr>
              <w:t>发包文件</w:t>
            </w:r>
            <w:r>
              <w:rPr>
                <w:rFonts w:hint="eastAsia" w:ascii="宋体" w:hAnsi="宋体" w:eastAsia="宋体" w:cs="宋体"/>
                <w:color w:val="auto"/>
                <w:sz w:val="24"/>
                <w:szCs w:val="28"/>
                <w:highlight w:val="none"/>
              </w:rPr>
              <w:t>规定并加盖供应商</w:t>
            </w:r>
            <w:r>
              <w:rPr>
                <w:rFonts w:hint="eastAsia" w:ascii="宋体" w:hAnsi="宋体" w:eastAsia="宋体" w:cs="宋体"/>
                <w:color w:val="auto"/>
                <w:sz w:val="24"/>
                <w:szCs w:val="28"/>
                <w:highlight w:val="none"/>
                <w:lang w:val="en-US" w:eastAsia="zh-CN"/>
              </w:rPr>
              <w:t>公章</w:t>
            </w:r>
          </w:p>
        </w:tc>
        <w:tc>
          <w:tcPr>
            <w:tcW w:w="1756" w:type="pct"/>
            <w:vAlign w:val="center"/>
          </w:tcPr>
          <w:p w14:paraId="57E528FD">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详见第六章响应文件格式。</w:t>
            </w:r>
          </w:p>
        </w:tc>
      </w:tr>
      <w:tr w14:paraId="21DE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5EE857F7">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10</w:t>
            </w:r>
          </w:p>
        </w:tc>
        <w:tc>
          <w:tcPr>
            <w:tcW w:w="898" w:type="pct"/>
            <w:vAlign w:val="center"/>
          </w:tcPr>
          <w:p w14:paraId="44333B3F">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授权书</w:t>
            </w:r>
          </w:p>
        </w:tc>
        <w:tc>
          <w:tcPr>
            <w:tcW w:w="2012" w:type="pct"/>
            <w:vAlign w:val="center"/>
          </w:tcPr>
          <w:p w14:paraId="76013CC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格式、填写要求符合</w:t>
            </w:r>
            <w:r>
              <w:rPr>
                <w:rFonts w:hint="eastAsia" w:ascii="宋体" w:hAnsi="宋体" w:cs="宋体"/>
                <w:color w:val="auto"/>
                <w:spacing w:val="10"/>
                <w:sz w:val="24"/>
                <w:szCs w:val="24"/>
                <w:highlight w:val="none"/>
                <w:lang w:eastAsia="zh-CN"/>
              </w:rPr>
              <w:t>发包文件</w:t>
            </w:r>
            <w:r>
              <w:rPr>
                <w:rFonts w:hint="eastAsia" w:ascii="宋体" w:hAnsi="宋体" w:eastAsia="宋体" w:cs="宋体"/>
                <w:color w:val="auto"/>
                <w:sz w:val="24"/>
                <w:szCs w:val="28"/>
                <w:highlight w:val="none"/>
              </w:rPr>
              <w:t>规定并加盖</w:t>
            </w:r>
            <w:r>
              <w:rPr>
                <w:rFonts w:hint="eastAsia" w:ascii="宋体" w:hAnsi="宋体" w:eastAsia="宋体" w:cs="宋体"/>
                <w:color w:val="auto"/>
                <w:sz w:val="24"/>
                <w:highlight w:val="none"/>
              </w:rPr>
              <w:t>供应商</w:t>
            </w:r>
            <w:r>
              <w:rPr>
                <w:rFonts w:hint="eastAsia" w:ascii="宋体" w:hAnsi="宋体" w:eastAsia="宋体" w:cs="宋体"/>
                <w:color w:val="auto"/>
                <w:sz w:val="24"/>
                <w:szCs w:val="28"/>
                <w:highlight w:val="none"/>
                <w:lang w:val="en-US" w:eastAsia="zh-CN"/>
              </w:rPr>
              <w:t>公章</w:t>
            </w:r>
          </w:p>
        </w:tc>
        <w:tc>
          <w:tcPr>
            <w:tcW w:w="1756" w:type="pct"/>
            <w:vAlign w:val="center"/>
          </w:tcPr>
          <w:p w14:paraId="403D5577">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法定代表人参加</w:t>
            </w:r>
            <w:r>
              <w:rPr>
                <w:rFonts w:hint="eastAsia" w:ascii="宋体" w:hAnsi="宋体" w:cs="宋体"/>
                <w:color w:val="auto"/>
                <w:sz w:val="24"/>
                <w:highlight w:val="none"/>
                <w:lang w:val="en-US" w:eastAsia="zh-CN"/>
              </w:rPr>
              <w:t xml:space="preserve">评审 </w:t>
            </w:r>
            <w:r>
              <w:rPr>
                <w:rFonts w:hint="eastAsia" w:ascii="宋体" w:hAnsi="宋体" w:eastAsia="宋体" w:cs="宋体"/>
                <w:color w:val="auto"/>
                <w:sz w:val="24"/>
                <w:highlight w:val="none"/>
              </w:rPr>
              <w:t>的无需此件，提供身份证明即可。详见第六章响应文件格式。</w:t>
            </w:r>
          </w:p>
        </w:tc>
      </w:tr>
      <w:tr w14:paraId="33E2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470254ED">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p>
        </w:tc>
        <w:tc>
          <w:tcPr>
            <w:tcW w:w="898" w:type="pct"/>
            <w:vAlign w:val="center"/>
          </w:tcPr>
          <w:p w14:paraId="79416086">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cs="宋体"/>
                <w:color w:val="auto"/>
                <w:sz w:val="24"/>
                <w:szCs w:val="28"/>
                <w:highlight w:val="none"/>
                <w:lang w:val="en-US" w:eastAsia="zh-CN"/>
              </w:rPr>
              <w:t>响应</w:t>
            </w:r>
            <w:r>
              <w:rPr>
                <w:rFonts w:hint="eastAsia" w:ascii="宋体" w:hAnsi="宋体" w:eastAsia="宋体" w:cs="宋体"/>
                <w:color w:val="auto"/>
                <w:sz w:val="24"/>
                <w:szCs w:val="28"/>
                <w:highlight w:val="none"/>
              </w:rPr>
              <w:t>报价</w:t>
            </w:r>
          </w:p>
        </w:tc>
        <w:tc>
          <w:tcPr>
            <w:tcW w:w="2012" w:type="pct"/>
            <w:vAlign w:val="center"/>
          </w:tcPr>
          <w:p w14:paraId="547A4FB8">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符合</w:t>
            </w:r>
            <w:r>
              <w:rPr>
                <w:rFonts w:hint="eastAsia" w:ascii="宋体" w:hAnsi="宋体" w:cs="宋体"/>
                <w:color w:val="auto"/>
                <w:spacing w:val="10"/>
                <w:sz w:val="24"/>
                <w:szCs w:val="24"/>
                <w:highlight w:val="none"/>
                <w:lang w:eastAsia="zh-CN"/>
              </w:rPr>
              <w:t>发包文件</w:t>
            </w:r>
            <w:r>
              <w:rPr>
                <w:rFonts w:hint="eastAsia" w:ascii="宋体" w:hAnsi="宋体" w:eastAsia="宋体" w:cs="宋体"/>
                <w:color w:val="auto"/>
                <w:sz w:val="24"/>
                <w:highlight w:val="none"/>
              </w:rPr>
              <w:t>供应商须知正文第9条要求</w:t>
            </w:r>
          </w:p>
        </w:tc>
        <w:tc>
          <w:tcPr>
            <w:tcW w:w="1756" w:type="pct"/>
            <w:vAlign w:val="center"/>
          </w:tcPr>
          <w:p w14:paraId="376FD8CB">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详见第六章响应文件格式。</w:t>
            </w:r>
          </w:p>
        </w:tc>
      </w:tr>
      <w:tr w14:paraId="04FA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429CF511">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p>
        </w:tc>
        <w:tc>
          <w:tcPr>
            <w:tcW w:w="898" w:type="pct"/>
            <w:vAlign w:val="center"/>
          </w:tcPr>
          <w:p w14:paraId="28257624">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商务响应情况</w:t>
            </w:r>
          </w:p>
        </w:tc>
        <w:tc>
          <w:tcPr>
            <w:tcW w:w="2012" w:type="pct"/>
            <w:vAlign w:val="center"/>
          </w:tcPr>
          <w:p w14:paraId="7F65EF87">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符合</w:t>
            </w:r>
            <w:r>
              <w:rPr>
                <w:rFonts w:hint="eastAsia" w:ascii="宋体" w:hAnsi="宋体" w:cs="宋体"/>
                <w:color w:val="auto"/>
                <w:spacing w:val="10"/>
                <w:sz w:val="24"/>
                <w:szCs w:val="24"/>
                <w:highlight w:val="none"/>
                <w:lang w:eastAsia="zh-CN"/>
              </w:rPr>
              <w:t>发包文件</w:t>
            </w:r>
            <w:r>
              <w:rPr>
                <w:rFonts w:hint="eastAsia" w:ascii="宋体" w:hAnsi="宋体" w:eastAsia="宋体" w:cs="宋体"/>
                <w:color w:val="auto"/>
                <w:sz w:val="24"/>
                <w:szCs w:val="28"/>
                <w:highlight w:val="none"/>
              </w:rPr>
              <w:t>采购需求中对付款方式、服务地点、服务期限等实质性要求</w:t>
            </w:r>
          </w:p>
        </w:tc>
        <w:tc>
          <w:tcPr>
            <w:tcW w:w="1756" w:type="pct"/>
            <w:vAlign w:val="center"/>
          </w:tcPr>
          <w:p w14:paraId="0EE2B538">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详见第六章响应文件格式。</w:t>
            </w:r>
          </w:p>
        </w:tc>
      </w:tr>
      <w:tr w14:paraId="7CA4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33" w:hRule="atLeast"/>
          <w:jc w:val="center"/>
        </w:trPr>
        <w:tc>
          <w:tcPr>
            <w:tcW w:w="332" w:type="pct"/>
            <w:vAlign w:val="center"/>
          </w:tcPr>
          <w:p w14:paraId="69A3CE7A">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13</w:t>
            </w:r>
          </w:p>
        </w:tc>
        <w:tc>
          <w:tcPr>
            <w:tcW w:w="898" w:type="pct"/>
            <w:vAlign w:val="center"/>
          </w:tcPr>
          <w:p w14:paraId="5DFFE954">
            <w:pPr>
              <w:keepNext w:val="0"/>
              <w:keepLines w:val="0"/>
              <w:pageBreakBefore w:val="0"/>
              <w:widowControl w:val="0"/>
              <w:kinsoku/>
              <w:wordWrap/>
              <w:overflowPunct/>
              <w:topLinePunct w:val="0"/>
              <w:autoSpaceDE/>
              <w:autoSpaceDN/>
              <w:bidi w:val="0"/>
              <w:spacing w:line="360" w:lineRule="exact"/>
              <w:ind w:right="0"/>
              <w:jc w:val="center"/>
              <w:textAlignment w:val="auto"/>
              <w:outlineLvl w:val="2"/>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技术响应情况</w:t>
            </w:r>
          </w:p>
        </w:tc>
        <w:tc>
          <w:tcPr>
            <w:tcW w:w="2012" w:type="pct"/>
            <w:vAlign w:val="center"/>
          </w:tcPr>
          <w:p w14:paraId="731C9566">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符合</w:t>
            </w:r>
            <w:r>
              <w:rPr>
                <w:rFonts w:hint="eastAsia" w:ascii="宋体" w:hAnsi="宋体" w:cs="宋体"/>
                <w:color w:val="auto"/>
                <w:spacing w:val="10"/>
                <w:sz w:val="24"/>
                <w:szCs w:val="24"/>
                <w:highlight w:val="none"/>
                <w:lang w:val="en-US" w:eastAsia="zh-CN"/>
              </w:rPr>
              <w:t>发包文件</w:t>
            </w:r>
            <w:r>
              <w:rPr>
                <w:rFonts w:hint="eastAsia" w:ascii="宋体" w:hAnsi="宋体" w:eastAsia="宋体" w:cs="宋体"/>
                <w:color w:val="auto"/>
                <w:spacing w:val="10"/>
                <w:sz w:val="24"/>
                <w:szCs w:val="24"/>
                <w:highlight w:val="none"/>
              </w:rPr>
              <w:t>采购需求中</w:t>
            </w:r>
            <w:r>
              <w:rPr>
                <w:rFonts w:hint="eastAsia" w:ascii="宋体" w:hAnsi="宋体" w:eastAsia="宋体" w:cs="宋体"/>
                <w:color w:val="auto"/>
                <w:spacing w:val="10"/>
                <w:sz w:val="24"/>
                <w:szCs w:val="24"/>
                <w:highlight w:val="none"/>
                <w:lang w:val="en-US" w:eastAsia="zh-CN"/>
              </w:rPr>
              <w:t>实质性响应技术参数</w:t>
            </w:r>
            <w:r>
              <w:rPr>
                <w:rFonts w:hint="eastAsia" w:ascii="宋体" w:hAnsi="宋体" w:eastAsia="宋体" w:cs="宋体"/>
                <w:color w:val="auto"/>
                <w:spacing w:val="10"/>
                <w:sz w:val="24"/>
                <w:szCs w:val="24"/>
                <w:highlight w:val="none"/>
              </w:rPr>
              <w:t>要求</w:t>
            </w:r>
          </w:p>
        </w:tc>
        <w:tc>
          <w:tcPr>
            <w:tcW w:w="1756" w:type="pct"/>
            <w:vAlign w:val="center"/>
          </w:tcPr>
          <w:p w14:paraId="3E3AE57A">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详见第六章响应文件格式。</w:t>
            </w:r>
          </w:p>
        </w:tc>
      </w:tr>
      <w:tr w14:paraId="45CA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5E09FEF9">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14</w:t>
            </w:r>
          </w:p>
        </w:tc>
        <w:tc>
          <w:tcPr>
            <w:tcW w:w="898" w:type="pct"/>
            <w:vAlign w:val="center"/>
          </w:tcPr>
          <w:p w14:paraId="79594BB8">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其他要求</w:t>
            </w:r>
          </w:p>
        </w:tc>
        <w:tc>
          <w:tcPr>
            <w:tcW w:w="2012" w:type="pct"/>
            <w:vAlign w:val="center"/>
          </w:tcPr>
          <w:p w14:paraId="57327A3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8"/>
                <w:highlight w:val="none"/>
              </w:rPr>
              <w:t>符合法律、行政法规规定的其他条件或</w:t>
            </w:r>
            <w:r>
              <w:rPr>
                <w:rFonts w:hint="eastAsia" w:ascii="宋体" w:hAnsi="宋体" w:cs="宋体"/>
                <w:color w:val="auto"/>
                <w:sz w:val="24"/>
                <w:szCs w:val="28"/>
                <w:highlight w:val="none"/>
                <w:lang w:eastAsia="zh-CN"/>
              </w:rPr>
              <w:t>发包文件</w:t>
            </w:r>
            <w:r>
              <w:rPr>
                <w:rFonts w:hint="eastAsia" w:ascii="宋体" w:hAnsi="宋体" w:eastAsia="宋体" w:cs="宋体"/>
                <w:color w:val="auto"/>
                <w:sz w:val="24"/>
                <w:szCs w:val="28"/>
                <w:highlight w:val="none"/>
              </w:rPr>
              <w:t>列明的其他实质性要求</w:t>
            </w:r>
          </w:p>
        </w:tc>
        <w:tc>
          <w:tcPr>
            <w:tcW w:w="1756" w:type="pct"/>
            <w:vAlign w:val="center"/>
          </w:tcPr>
          <w:p w14:paraId="717C6F9A">
            <w:pPr>
              <w:keepNext w:val="0"/>
              <w:keepLines w:val="0"/>
              <w:pageBreakBefore w:val="0"/>
              <w:widowControl w:val="0"/>
              <w:kinsoku/>
              <w:wordWrap/>
              <w:overflowPunct/>
              <w:topLinePunct w:val="0"/>
              <w:autoSpaceDE/>
              <w:autoSpaceDN/>
              <w:bidi w:val="0"/>
              <w:adjustRightInd w:val="0"/>
              <w:snapToGrid w:val="0"/>
              <w:spacing w:line="360" w:lineRule="exact"/>
              <w:ind w:right="0"/>
              <w:jc w:val="both"/>
              <w:textAlignment w:val="auto"/>
              <w:rPr>
                <w:rFonts w:hint="eastAsia" w:ascii="宋体" w:hAnsi="宋体" w:eastAsia="宋体" w:cs="宋体"/>
                <w:color w:val="auto"/>
                <w:sz w:val="24"/>
                <w:szCs w:val="24"/>
                <w:highlight w:val="none"/>
              </w:rPr>
            </w:pPr>
          </w:p>
        </w:tc>
      </w:tr>
    </w:tbl>
    <w:p w14:paraId="085189E7">
      <w:pPr>
        <w:spacing w:line="360" w:lineRule="auto"/>
        <w:ind w:firstLine="435"/>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初审指标通过标准：</w:t>
      </w:r>
      <w:r>
        <w:rPr>
          <w:rFonts w:hint="eastAsia" w:ascii="宋体" w:hAnsi="宋体" w:eastAsia="宋体" w:cs="宋体"/>
          <w:color w:val="auto"/>
          <w:sz w:val="24"/>
          <w:highlight w:val="none"/>
        </w:rPr>
        <w:t>供应商必须通过初审表中的全部评审指标。</w:t>
      </w:r>
    </w:p>
    <w:p w14:paraId="12CAD940">
      <w:pPr>
        <w:spacing w:line="360" w:lineRule="auto"/>
        <w:ind w:firstLine="435"/>
        <w:outlineLvl w:val="2"/>
        <w:rPr>
          <w:rFonts w:hint="eastAsia" w:ascii="宋体" w:hAnsi="宋体" w:eastAsia="宋体" w:cs="宋体"/>
          <w:b/>
          <w:color w:val="auto"/>
          <w:sz w:val="24"/>
          <w:highlight w:val="none"/>
        </w:rPr>
      </w:pPr>
    </w:p>
    <w:p w14:paraId="72DBD51B">
      <w:pPr>
        <w:spacing w:line="360" w:lineRule="auto"/>
        <w:ind w:firstLine="435"/>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2.2综合评分</w:t>
      </w:r>
    </w:p>
    <w:p w14:paraId="0CCDE15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2.2.1</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按照下表对进入综合评分的所有供应商的响应文件进行综合评分。</w:t>
      </w:r>
    </w:p>
    <w:p w14:paraId="6735A099">
      <w:pPr>
        <w:spacing w:line="360" w:lineRule="auto"/>
        <w:ind w:firstLine="435"/>
        <w:rPr>
          <w:rFonts w:hint="eastAsia" w:ascii="宋体" w:hAnsi="宋体" w:eastAsia="宋体" w:cs="宋体"/>
          <w:color w:val="auto"/>
          <w:highlight w:val="none"/>
        </w:rPr>
      </w:pPr>
      <w:r>
        <w:rPr>
          <w:rFonts w:hint="eastAsia" w:ascii="宋体" w:hAnsi="宋体" w:eastAsia="宋体" w:cs="宋体"/>
          <w:color w:val="auto"/>
          <w:sz w:val="24"/>
          <w:highlight w:val="none"/>
        </w:rPr>
        <w:t>2.2.2本项目综合评分满分为100分，其中：技术资信分值占总分值的权重为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90</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%，价格分值占总分值的权重为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%。具体评分细则如下：</w:t>
      </w:r>
    </w:p>
    <w:tbl>
      <w:tblPr>
        <w:tblStyle w:val="24"/>
        <w:tblW w:w="9487" w:type="dxa"/>
        <w:jc w:val="center"/>
        <w:tblLayout w:type="fixed"/>
        <w:tblCellMar>
          <w:top w:w="28" w:type="dxa"/>
          <w:left w:w="51" w:type="dxa"/>
          <w:bottom w:w="28" w:type="dxa"/>
          <w:right w:w="51" w:type="dxa"/>
        </w:tblCellMar>
      </w:tblPr>
      <w:tblGrid>
        <w:gridCol w:w="1031"/>
        <w:gridCol w:w="1134"/>
        <w:gridCol w:w="6461"/>
        <w:gridCol w:w="861"/>
      </w:tblGrid>
      <w:tr w14:paraId="75605A43">
        <w:tblPrEx>
          <w:tblCellMar>
            <w:top w:w="28" w:type="dxa"/>
            <w:left w:w="51" w:type="dxa"/>
            <w:bottom w:w="28" w:type="dxa"/>
            <w:right w:w="51" w:type="dxa"/>
          </w:tblCellMar>
        </w:tblPrEx>
        <w:trPr>
          <w:trHeight w:val="789" w:hRule="atLeast"/>
          <w:jc w:val="center"/>
        </w:trPr>
        <w:tc>
          <w:tcPr>
            <w:tcW w:w="103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66439CE1">
            <w:pPr>
              <w:spacing w:line="360" w:lineRule="auto"/>
              <w:jc w:val="left"/>
              <w:rPr>
                <w:color w:val="000000"/>
              </w:rPr>
            </w:pPr>
            <w:r>
              <w:rPr>
                <w:rFonts w:hint="default" w:ascii="宋体" w:hAnsi="宋体" w:eastAsia="宋体" w:cs="宋体"/>
                <w:b/>
                <w:bCs/>
                <w:i w:val="0"/>
                <w:iCs w:val="0"/>
                <w:color w:val="000000"/>
                <w:kern w:val="2"/>
                <w:sz w:val="24"/>
                <w:szCs w:val="24"/>
                <w:highlight w:val="none"/>
                <w:vertAlign w:val="baseline"/>
                <w:lang w:val="en-US" w:eastAsia="zh-CN" w:bidi="ar-SA"/>
              </w:rPr>
              <w:t>类别</w:t>
            </w:r>
          </w:p>
        </w:tc>
        <w:tc>
          <w:tcPr>
            <w:tcW w:w="1134"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1F096702">
            <w:pPr>
              <w:spacing w:line="360" w:lineRule="auto"/>
              <w:jc w:val="left"/>
              <w:rPr>
                <w:color w:val="000000"/>
              </w:rPr>
            </w:pPr>
            <w:r>
              <w:rPr>
                <w:rFonts w:hint="default" w:ascii="宋体" w:hAnsi="宋体" w:eastAsia="宋体" w:cs="宋体"/>
                <w:b/>
                <w:bCs/>
                <w:i w:val="0"/>
                <w:iCs w:val="0"/>
                <w:color w:val="000000"/>
                <w:kern w:val="2"/>
                <w:sz w:val="24"/>
                <w:szCs w:val="24"/>
                <w:highlight w:val="none"/>
                <w:vertAlign w:val="baseline"/>
                <w:lang w:val="en-US" w:eastAsia="zh-CN" w:bidi="ar-SA"/>
              </w:rPr>
              <w:t>评分内容</w:t>
            </w:r>
          </w:p>
        </w:tc>
        <w:tc>
          <w:tcPr>
            <w:tcW w:w="64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4EFAD256">
            <w:pPr>
              <w:spacing w:line="360" w:lineRule="auto"/>
              <w:jc w:val="left"/>
              <w:rPr>
                <w:color w:val="000000"/>
              </w:rPr>
            </w:pPr>
            <w:r>
              <w:rPr>
                <w:rFonts w:hint="default" w:ascii="宋体" w:hAnsi="宋体" w:eastAsia="宋体" w:cs="宋体"/>
                <w:b/>
                <w:bCs/>
                <w:i w:val="0"/>
                <w:iCs w:val="0"/>
                <w:color w:val="000000"/>
                <w:kern w:val="2"/>
                <w:sz w:val="24"/>
                <w:szCs w:val="24"/>
                <w:highlight w:val="none"/>
                <w:vertAlign w:val="baseline"/>
                <w:lang w:val="en-US" w:eastAsia="zh-CN" w:bidi="ar-SA"/>
              </w:rPr>
              <w:t>评分标准</w:t>
            </w:r>
          </w:p>
        </w:tc>
        <w:tc>
          <w:tcPr>
            <w:tcW w:w="8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1D5142F3">
            <w:pPr>
              <w:spacing w:line="360" w:lineRule="auto"/>
              <w:jc w:val="center"/>
              <w:rPr>
                <w:color w:val="000000"/>
              </w:rPr>
            </w:pPr>
            <w:r>
              <w:rPr>
                <w:rFonts w:hint="default" w:ascii="宋体" w:hAnsi="宋体" w:eastAsia="宋体" w:cs="宋体"/>
                <w:b/>
                <w:bCs/>
                <w:i w:val="0"/>
                <w:iCs w:val="0"/>
                <w:color w:val="000000"/>
                <w:kern w:val="2"/>
                <w:sz w:val="24"/>
                <w:szCs w:val="24"/>
                <w:highlight w:val="none"/>
                <w:vertAlign w:val="baseline"/>
                <w:lang w:val="en-US" w:eastAsia="zh-CN" w:bidi="ar-SA"/>
              </w:rPr>
              <w:t>分值范围</w:t>
            </w:r>
          </w:p>
        </w:tc>
      </w:tr>
      <w:tr w14:paraId="10D8AE20">
        <w:tblPrEx>
          <w:tblCellMar>
            <w:top w:w="28" w:type="dxa"/>
            <w:left w:w="51" w:type="dxa"/>
            <w:bottom w:w="28" w:type="dxa"/>
            <w:right w:w="51" w:type="dxa"/>
          </w:tblCellMar>
        </w:tblPrEx>
        <w:trPr>
          <w:trHeight w:val="824" w:hRule="atLeast"/>
          <w:jc w:val="center"/>
        </w:trPr>
        <w:tc>
          <w:tcPr>
            <w:tcW w:w="1031" w:type="dxa"/>
            <w:vMerge w:val="restart"/>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72A615EE">
            <w:pPr>
              <w:spacing w:line="360" w:lineRule="auto"/>
              <w:jc w:val="left"/>
              <w:rPr>
                <w:color w:val="000000"/>
              </w:rPr>
            </w:pPr>
            <w:r>
              <w:rPr>
                <w:rFonts w:hint="default" w:ascii="宋体" w:hAnsi="宋体" w:eastAsia="宋体" w:cs="宋体"/>
                <w:b/>
                <w:bCs/>
                <w:i w:val="0"/>
                <w:iCs w:val="0"/>
                <w:color w:val="000000"/>
                <w:kern w:val="2"/>
                <w:sz w:val="24"/>
                <w:szCs w:val="24"/>
                <w:highlight w:val="none"/>
                <w:vertAlign w:val="baseline"/>
                <w:lang w:val="zh-CN" w:eastAsia="zh-CN" w:bidi="ar-SA"/>
              </w:rPr>
              <w:t>技术标（</w:t>
            </w:r>
            <w:r>
              <w:rPr>
                <w:rFonts w:hint="default" w:ascii="宋体" w:hAnsi="宋体" w:eastAsia="宋体" w:cs="宋体"/>
                <w:b/>
                <w:bCs/>
                <w:i w:val="0"/>
                <w:iCs w:val="0"/>
                <w:color w:val="000000"/>
                <w:kern w:val="2"/>
                <w:sz w:val="24"/>
                <w:szCs w:val="24"/>
                <w:highlight w:val="none"/>
                <w:u w:val="single" w:color="auto"/>
                <w:vertAlign w:val="baseline"/>
                <w:lang w:val="zh-CN" w:eastAsia="zh-CN" w:bidi="ar-SA"/>
              </w:rPr>
              <w:t>90</w:t>
            </w:r>
            <w:r>
              <w:rPr>
                <w:rFonts w:hint="default" w:ascii="宋体" w:hAnsi="宋体" w:eastAsia="宋体" w:cs="宋体"/>
                <w:b/>
                <w:bCs/>
                <w:i w:val="0"/>
                <w:iCs w:val="0"/>
                <w:color w:val="000000"/>
                <w:kern w:val="2"/>
                <w:sz w:val="24"/>
                <w:szCs w:val="24"/>
                <w:highlight w:val="none"/>
                <w:vertAlign w:val="baseline"/>
                <w:lang w:val="zh-CN" w:eastAsia="zh-CN" w:bidi="ar-SA"/>
              </w:rPr>
              <w:t>分）</w:t>
            </w:r>
          </w:p>
        </w:tc>
        <w:tc>
          <w:tcPr>
            <w:tcW w:w="1134"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11DAF633">
            <w:pPr>
              <w:widowControl/>
              <w:spacing w:line="360" w:lineRule="auto"/>
              <w:jc w:val="center"/>
              <w:rPr>
                <w:color w:val="000000"/>
              </w:rPr>
            </w:pPr>
            <w:r>
              <w:rPr>
                <w:rFonts w:hint="default" w:ascii="Times New Roman" w:hAnsi="Times New Roman" w:eastAsia="宋体" w:cs="Times New Roman"/>
                <w:b w:val="0"/>
                <w:bCs w:val="0"/>
                <w:i w:val="0"/>
                <w:iCs w:val="0"/>
                <w:color w:val="000000"/>
                <w:kern w:val="2"/>
                <w:sz w:val="24"/>
                <w:szCs w:val="24"/>
                <w:highlight w:val="none"/>
                <w:vertAlign w:val="baseline"/>
                <w:lang w:val="en-US" w:eastAsia="zh-CN" w:bidi="ar-SA"/>
              </w:rPr>
              <w:t>供应商业绩</w:t>
            </w:r>
          </w:p>
        </w:tc>
        <w:tc>
          <w:tcPr>
            <w:tcW w:w="64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top"/>
          </w:tcPr>
          <w:p w14:paraId="7B8AAB0F">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供应商每具有一份类似业绩的得</w:t>
            </w:r>
            <w:r>
              <w:rPr>
                <w:rFonts w:hint="eastAsia" w:ascii="宋体" w:hAnsi="宋体" w:eastAsia="宋体" w:cs="宋体"/>
                <w:b w:val="0"/>
                <w:bCs w:val="0"/>
                <w:i w:val="0"/>
                <w:iCs w:val="0"/>
                <w:color w:val="000000"/>
                <w:kern w:val="2"/>
                <w:sz w:val="24"/>
                <w:szCs w:val="24"/>
                <w:highlight w:val="none"/>
                <w:vertAlign w:val="baseline"/>
                <w:lang w:val="en-US" w:eastAsia="zh-CN" w:bidi="ar-SA"/>
              </w:rPr>
              <w:t>4</w:t>
            </w:r>
            <w:r>
              <w:rPr>
                <w:rFonts w:hint="default" w:ascii="宋体" w:hAnsi="宋体" w:eastAsia="宋体" w:cs="宋体"/>
                <w:b w:val="0"/>
                <w:bCs w:val="0"/>
                <w:i w:val="0"/>
                <w:iCs w:val="0"/>
                <w:color w:val="000000"/>
                <w:kern w:val="2"/>
                <w:sz w:val="24"/>
                <w:szCs w:val="24"/>
                <w:highlight w:val="none"/>
                <w:vertAlign w:val="baseline"/>
                <w:lang w:val="en-US" w:eastAsia="zh-CN" w:bidi="ar-SA"/>
              </w:rPr>
              <w:t>分，最高得</w:t>
            </w:r>
            <w:r>
              <w:rPr>
                <w:rFonts w:hint="eastAsia" w:ascii="宋体" w:hAnsi="宋体" w:eastAsia="宋体" w:cs="宋体"/>
                <w:b w:val="0"/>
                <w:bCs w:val="0"/>
                <w:i w:val="0"/>
                <w:iCs w:val="0"/>
                <w:color w:val="000000"/>
                <w:kern w:val="2"/>
                <w:sz w:val="24"/>
                <w:szCs w:val="24"/>
                <w:highlight w:val="none"/>
                <w:vertAlign w:val="baseline"/>
                <w:lang w:val="en-US" w:eastAsia="zh-CN" w:bidi="ar-SA"/>
              </w:rPr>
              <w:t>20</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0F734D94">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default"/>
                <w:color w:val="000000"/>
                <w:lang w:val="en-US"/>
              </w:rPr>
            </w:pPr>
            <w:r>
              <w:rPr>
                <w:rFonts w:hint="default" w:ascii="宋体" w:hAnsi="宋体" w:eastAsia="宋体" w:cs="宋体"/>
                <w:b w:val="0"/>
                <w:bCs w:val="0"/>
                <w:i w:val="0"/>
                <w:iCs w:val="0"/>
                <w:color w:val="000000"/>
                <w:kern w:val="2"/>
                <w:sz w:val="24"/>
                <w:szCs w:val="24"/>
                <w:highlight w:val="none"/>
                <w:vertAlign w:val="baseline"/>
                <w:lang w:val="en-US" w:eastAsia="zh-CN" w:bidi="ar-SA"/>
              </w:rPr>
              <w:t>注：</w:t>
            </w:r>
            <w:r>
              <w:rPr>
                <w:rFonts w:ascii="宋体" w:hAnsi="宋体" w:eastAsia="宋体" w:cs="宋体"/>
                <w:sz w:val="24"/>
                <w:szCs w:val="24"/>
              </w:rPr>
              <w:t>①“类似业绩”特指消费券发放相关业绩，单份业绩对应消费券发放总额不得低于</w:t>
            </w:r>
            <w:r>
              <w:rPr>
                <w:rFonts w:hint="eastAsia" w:ascii="宋体" w:hAnsi="宋体" w:cs="宋体"/>
                <w:sz w:val="24"/>
                <w:szCs w:val="24"/>
                <w:lang w:val="en-US" w:eastAsia="zh-CN"/>
              </w:rPr>
              <w:t>50</w:t>
            </w:r>
            <w:r>
              <w:rPr>
                <w:rFonts w:ascii="宋体" w:hAnsi="宋体" w:eastAsia="宋体" w:cs="宋体"/>
                <w:sz w:val="24"/>
                <w:szCs w:val="24"/>
              </w:rPr>
              <w:t>万元。</w:t>
            </w:r>
          </w:p>
          <w:p w14:paraId="07832E9B">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②响应文件中须提供业绩合同扫描件，如合同中无法体现服务内容等评审因素的，须另附业主单位（合同甲方）加盖公章的证明材料扫描件。</w:t>
            </w:r>
          </w:p>
        </w:tc>
        <w:tc>
          <w:tcPr>
            <w:tcW w:w="8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0E4304D8">
            <w:pPr>
              <w:spacing w:line="360" w:lineRule="auto"/>
              <w:jc w:val="center"/>
              <w:rPr>
                <w:rFonts w:hint="default"/>
                <w:color w:val="000000"/>
                <w:lang w:val="en-US"/>
              </w:rPr>
            </w:pPr>
            <w:r>
              <w:rPr>
                <w:rFonts w:hint="default" w:ascii="宋体" w:hAnsi="宋体" w:eastAsia="宋体" w:cs="宋体"/>
                <w:b w:val="0"/>
                <w:bCs w:val="0"/>
                <w:i w:val="0"/>
                <w:iCs w:val="0"/>
                <w:color w:val="000000"/>
                <w:kern w:val="2"/>
                <w:sz w:val="24"/>
                <w:szCs w:val="24"/>
                <w:highlight w:val="none"/>
                <w:vertAlign w:val="baseline"/>
                <w:lang w:val="en-US" w:eastAsia="zh-CN" w:bidi="ar-SA"/>
              </w:rPr>
              <w:t>0-</w:t>
            </w:r>
            <w:r>
              <w:rPr>
                <w:rFonts w:hint="eastAsia" w:ascii="宋体" w:hAnsi="宋体" w:eastAsia="宋体" w:cs="宋体"/>
                <w:b w:val="0"/>
                <w:bCs w:val="0"/>
                <w:i w:val="0"/>
                <w:iCs w:val="0"/>
                <w:color w:val="000000"/>
                <w:kern w:val="2"/>
                <w:sz w:val="24"/>
                <w:szCs w:val="24"/>
                <w:highlight w:val="none"/>
                <w:vertAlign w:val="baseline"/>
                <w:lang w:val="en-US" w:eastAsia="zh-CN" w:bidi="ar-SA"/>
              </w:rPr>
              <w:t>20</w:t>
            </w:r>
          </w:p>
        </w:tc>
      </w:tr>
      <w:tr w14:paraId="1B0E6522">
        <w:tblPrEx>
          <w:tblCellMar>
            <w:top w:w="28" w:type="dxa"/>
            <w:left w:w="51" w:type="dxa"/>
            <w:bottom w:w="28" w:type="dxa"/>
            <w:right w:w="51" w:type="dxa"/>
          </w:tblCellMar>
        </w:tblPrEx>
        <w:trPr>
          <w:trHeight w:val="455"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14:paraId="716704BF">
            <w:pPr>
              <w:spacing w:line="360" w:lineRule="auto"/>
              <w:jc w:val="left"/>
              <w:rPr>
                <w:color w:val="000000"/>
              </w:rPr>
            </w:pPr>
          </w:p>
        </w:tc>
        <w:tc>
          <w:tcPr>
            <w:tcW w:w="1134"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465B47D1">
            <w:pPr>
              <w:widowControl/>
              <w:spacing w:line="360" w:lineRule="auto"/>
              <w:jc w:val="center"/>
              <w:rPr>
                <w:rFonts w:hint="eastAsia" w:eastAsia="宋体"/>
                <w:color w:val="0000FF"/>
                <w:lang w:eastAsia="zh-CN"/>
              </w:rPr>
            </w:pPr>
            <w:r>
              <w:rPr>
                <w:rFonts w:hint="default" w:ascii="宋体" w:hAnsi="宋体" w:eastAsia="宋体" w:cs="宋体"/>
                <w:b w:val="0"/>
                <w:bCs w:val="0"/>
                <w:i w:val="0"/>
                <w:iCs w:val="0"/>
                <w:color w:val="000000"/>
                <w:kern w:val="2"/>
                <w:sz w:val="24"/>
                <w:szCs w:val="24"/>
                <w:highlight w:val="none"/>
                <w:vertAlign w:val="baseline"/>
                <w:lang w:val="en-US" w:eastAsia="zh-CN" w:bidi="ar-SA"/>
              </w:rPr>
              <w:t>体系认证</w:t>
            </w:r>
          </w:p>
        </w:tc>
        <w:tc>
          <w:tcPr>
            <w:tcW w:w="64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1CB73D7E">
            <w:pPr>
              <w:keepNext w:val="0"/>
              <w:keepLines w:val="0"/>
              <w:pageBreakBefore w:val="0"/>
              <w:widowControl/>
              <w:numPr>
                <w:ilvl w:val="0"/>
                <w:numId w:val="0"/>
              </w:numPr>
              <w:kinsoku/>
              <w:wordWrap/>
              <w:overflowPunct/>
              <w:topLinePunct w:val="0"/>
              <w:autoSpaceDE/>
              <w:autoSpaceDN/>
              <w:bidi w:val="0"/>
              <w:spacing w:line="360" w:lineRule="auto"/>
              <w:ind w:firstLine="480" w:firstLineChars="200"/>
              <w:jc w:val="left"/>
              <w:textAlignment w:val="auto"/>
              <w:rPr>
                <w:color w:val="auto"/>
                <w:sz w:val="24"/>
                <w:szCs w:val="24"/>
              </w:rPr>
            </w:pPr>
            <w:r>
              <w:rPr>
                <w:rFonts w:hint="default" w:ascii="宋体" w:hAnsi="宋体" w:eastAsia="宋体" w:cs="宋体"/>
                <w:b w:val="0"/>
                <w:bCs w:val="0"/>
                <w:i w:val="0"/>
                <w:iCs w:val="0"/>
                <w:color w:val="auto"/>
                <w:kern w:val="2"/>
                <w:sz w:val="24"/>
                <w:szCs w:val="24"/>
                <w:highlight w:val="none"/>
                <w:vertAlign w:val="baseline"/>
                <w:lang w:val="en-US" w:eastAsia="zh-CN" w:bidi="ar-SA"/>
              </w:rPr>
              <w:t>供应商具有</w:t>
            </w:r>
            <w:r>
              <w:rPr>
                <w:rFonts w:hint="eastAsia" w:ascii="宋体" w:hAnsi="宋体" w:eastAsia="宋体" w:cs="宋体"/>
                <w:b w:val="0"/>
                <w:bCs w:val="0"/>
                <w:i w:val="0"/>
                <w:iCs w:val="0"/>
                <w:color w:val="auto"/>
                <w:kern w:val="2"/>
                <w:sz w:val="24"/>
                <w:szCs w:val="24"/>
                <w:highlight w:val="none"/>
                <w:vertAlign w:val="baseline"/>
                <w:lang w:val="en-US" w:eastAsia="zh-CN" w:bidi="ar-SA"/>
              </w:rPr>
              <w:t>经权威认</w:t>
            </w:r>
            <w:r>
              <w:rPr>
                <w:rFonts w:hint="default" w:ascii="宋体" w:hAnsi="宋体" w:eastAsia="宋体" w:cs="宋体"/>
                <w:b w:val="0"/>
                <w:bCs w:val="0"/>
                <w:i w:val="0"/>
                <w:iCs w:val="0"/>
                <w:color w:val="auto"/>
                <w:kern w:val="2"/>
                <w:sz w:val="24"/>
                <w:szCs w:val="24"/>
                <w:highlight w:val="none"/>
                <w:vertAlign w:val="baseline"/>
                <w:lang w:val="en-US" w:eastAsia="zh-CN" w:bidi="ar-SA"/>
              </w:rPr>
              <w:t>证机构颁发有效的</w:t>
            </w:r>
            <w:r>
              <w:rPr>
                <w:rFonts w:hint="eastAsia" w:ascii="宋体" w:hAnsi="宋体" w:eastAsia="宋体" w:cs="宋体"/>
                <w:b w:val="0"/>
                <w:bCs w:val="0"/>
                <w:i w:val="0"/>
                <w:iCs w:val="0"/>
                <w:color w:val="auto"/>
                <w:kern w:val="2"/>
                <w:sz w:val="24"/>
                <w:szCs w:val="24"/>
                <w:highlight w:val="none"/>
                <w:vertAlign w:val="baseline"/>
                <w:lang w:val="en-US" w:eastAsia="zh-CN" w:bidi="ar-SA"/>
              </w:rPr>
              <w:t>相关证件</w:t>
            </w:r>
            <w:r>
              <w:rPr>
                <w:rFonts w:hint="default" w:ascii="宋体" w:hAnsi="宋体" w:eastAsia="宋体" w:cs="宋体"/>
                <w:b w:val="0"/>
                <w:bCs w:val="0"/>
                <w:i w:val="0"/>
                <w:iCs w:val="0"/>
                <w:color w:val="auto"/>
                <w:kern w:val="2"/>
                <w:sz w:val="24"/>
                <w:szCs w:val="24"/>
                <w:highlight w:val="none"/>
                <w:vertAlign w:val="baseline"/>
                <w:lang w:val="en-US" w:eastAsia="zh-CN" w:bidi="ar-SA"/>
              </w:rPr>
              <w:t>：</w:t>
            </w:r>
          </w:p>
          <w:p w14:paraId="78B2FC90">
            <w:pPr>
              <w:keepNext w:val="0"/>
              <w:keepLines w:val="0"/>
              <w:pageBreakBefore w:val="0"/>
              <w:widowControl/>
              <w:numPr>
                <w:ilvl w:val="0"/>
                <w:numId w:val="0"/>
              </w:numPr>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b w:val="0"/>
                <w:bCs w:val="0"/>
                <w:i w:val="0"/>
                <w:iCs w:val="0"/>
                <w:color w:val="auto"/>
                <w:kern w:val="2"/>
                <w:sz w:val="24"/>
                <w:szCs w:val="24"/>
                <w:highlight w:val="none"/>
                <w:vertAlign w:val="baseline"/>
                <w:lang w:val="en-US" w:eastAsia="zh-CN" w:bidi="ar-SA"/>
              </w:rPr>
            </w:pPr>
            <w:r>
              <w:rPr>
                <w:rFonts w:hint="eastAsia" w:ascii="宋体" w:hAnsi="宋体" w:eastAsia="宋体" w:cs="宋体"/>
                <w:b w:val="0"/>
                <w:bCs w:val="0"/>
                <w:i w:val="0"/>
                <w:iCs w:val="0"/>
                <w:color w:val="auto"/>
                <w:kern w:val="2"/>
                <w:sz w:val="24"/>
                <w:szCs w:val="24"/>
                <w:highlight w:val="none"/>
                <w:vertAlign w:val="baseline"/>
                <w:lang w:val="en-US" w:eastAsia="zh-CN" w:bidi="ar-SA"/>
              </w:rPr>
              <w:t>（1）质量管理体系认证，得3分；</w:t>
            </w:r>
          </w:p>
          <w:p w14:paraId="27DA0D44">
            <w:pPr>
              <w:keepNext w:val="0"/>
              <w:keepLines w:val="0"/>
              <w:pageBreakBefore w:val="0"/>
              <w:widowControl/>
              <w:numPr>
                <w:ilvl w:val="0"/>
                <w:numId w:val="0"/>
              </w:numPr>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b w:val="0"/>
                <w:bCs w:val="0"/>
                <w:i w:val="0"/>
                <w:iCs w:val="0"/>
                <w:color w:val="auto"/>
                <w:kern w:val="2"/>
                <w:sz w:val="24"/>
                <w:szCs w:val="24"/>
                <w:highlight w:val="none"/>
                <w:vertAlign w:val="baseline"/>
                <w:lang w:val="en-US" w:eastAsia="zh-CN" w:bidi="ar-SA"/>
              </w:rPr>
            </w:pPr>
            <w:r>
              <w:rPr>
                <w:rFonts w:hint="eastAsia" w:ascii="宋体" w:hAnsi="宋体" w:eastAsia="宋体" w:cs="宋体"/>
                <w:b w:val="0"/>
                <w:bCs w:val="0"/>
                <w:i w:val="0"/>
                <w:iCs w:val="0"/>
                <w:color w:val="auto"/>
                <w:kern w:val="2"/>
                <w:sz w:val="24"/>
                <w:szCs w:val="24"/>
                <w:highlight w:val="none"/>
                <w:vertAlign w:val="baseline"/>
                <w:lang w:val="en-US" w:eastAsia="zh-CN" w:bidi="ar-SA"/>
              </w:rPr>
              <w:t>（2）环境管理体系认证，得3分；</w:t>
            </w:r>
          </w:p>
          <w:p w14:paraId="1C1EDD35">
            <w:pPr>
              <w:keepNext w:val="0"/>
              <w:keepLines w:val="0"/>
              <w:pageBreakBefore w:val="0"/>
              <w:widowControl/>
              <w:numPr>
                <w:ilvl w:val="0"/>
                <w:numId w:val="0"/>
              </w:numPr>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b w:val="0"/>
                <w:bCs w:val="0"/>
                <w:i w:val="0"/>
                <w:iCs w:val="0"/>
                <w:color w:val="auto"/>
                <w:kern w:val="2"/>
                <w:sz w:val="24"/>
                <w:szCs w:val="24"/>
                <w:highlight w:val="none"/>
                <w:vertAlign w:val="baseline"/>
                <w:lang w:val="en-US" w:eastAsia="zh-CN" w:bidi="ar-SA"/>
              </w:rPr>
            </w:pPr>
            <w:r>
              <w:rPr>
                <w:rFonts w:hint="eastAsia" w:ascii="宋体" w:hAnsi="宋体" w:eastAsia="宋体" w:cs="宋体"/>
                <w:b w:val="0"/>
                <w:bCs w:val="0"/>
                <w:i w:val="0"/>
                <w:iCs w:val="0"/>
                <w:color w:val="auto"/>
                <w:kern w:val="2"/>
                <w:sz w:val="24"/>
                <w:szCs w:val="24"/>
                <w:highlight w:val="none"/>
                <w:vertAlign w:val="baseline"/>
                <w:lang w:val="en-US" w:eastAsia="zh-CN" w:bidi="ar-SA"/>
              </w:rPr>
              <w:t>（3）健康管理体系认证，得3分；</w:t>
            </w:r>
          </w:p>
          <w:p w14:paraId="4F163ECD">
            <w:pPr>
              <w:keepNext w:val="0"/>
              <w:keepLines w:val="0"/>
              <w:pageBreakBefore w:val="0"/>
              <w:widowControl/>
              <w:numPr>
                <w:ilvl w:val="0"/>
                <w:numId w:val="0"/>
              </w:numPr>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b w:val="0"/>
                <w:bCs w:val="0"/>
                <w:i w:val="0"/>
                <w:iCs w:val="0"/>
                <w:color w:val="auto"/>
                <w:kern w:val="2"/>
                <w:sz w:val="24"/>
                <w:szCs w:val="24"/>
                <w:highlight w:val="none"/>
                <w:vertAlign w:val="baseline"/>
                <w:lang w:val="en-US" w:eastAsia="zh-CN" w:bidi="ar-SA"/>
              </w:rPr>
            </w:pPr>
            <w:r>
              <w:rPr>
                <w:rFonts w:hint="eastAsia" w:ascii="宋体" w:hAnsi="宋体" w:eastAsia="宋体" w:cs="宋体"/>
                <w:b w:val="0"/>
                <w:bCs w:val="0"/>
                <w:i w:val="0"/>
                <w:iCs w:val="0"/>
                <w:color w:val="auto"/>
                <w:kern w:val="2"/>
                <w:sz w:val="24"/>
                <w:szCs w:val="24"/>
                <w:highlight w:val="none"/>
                <w:vertAlign w:val="baseline"/>
                <w:lang w:val="en-US" w:eastAsia="zh-CN" w:bidi="ar-SA"/>
              </w:rPr>
              <w:t>（4）信息技术服务管理体系认证证书，得3分；</w:t>
            </w:r>
          </w:p>
          <w:p w14:paraId="1F6CCF62">
            <w:pPr>
              <w:keepNext w:val="0"/>
              <w:keepLines w:val="0"/>
              <w:pageBreakBefore w:val="0"/>
              <w:widowControl/>
              <w:kinsoku/>
              <w:wordWrap/>
              <w:overflowPunct/>
              <w:topLinePunct w:val="0"/>
              <w:autoSpaceDE/>
              <w:autoSpaceDN/>
              <w:bidi w:val="0"/>
              <w:spacing w:line="360" w:lineRule="auto"/>
              <w:ind w:firstLine="482" w:firstLineChars="200"/>
              <w:jc w:val="left"/>
              <w:textAlignment w:val="auto"/>
              <w:rPr>
                <w:rFonts w:hint="default" w:ascii="宋体" w:hAnsi="宋体" w:eastAsia="宋体" w:cs="宋体"/>
                <w:b w:val="0"/>
                <w:bCs w:val="0"/>
                <w:i w:val="0"/>
                <w:iCs w:val="0"/>
                <w:color w:val="0000FF"/>
                <w:kern w:val="2"/>
                <w:sz w:val="24"/>
                <w:szCs w:val="24"/>
                <w:highlight w:val="none"/>
                <w:vertAlign w:val="baseline"/>
                <w:lang w:val="en-US" w:eastAsia="zh-CN" w:bidi="ar-SA"/>
              </w:rPr>
            </w:pPr>
            <w:r>
              <w:rPr>
                <w:rFonts w:hint="default" w:ascii="宋体" w:hAnsi="宋体" w:eastAsia="宋体" w:cs="宋体"/>
                <w:b/>
                <w:bCs/>
                <w:i w:val="0"/>
                <w:iCs w:val="0"/>
                <w:color w:val="auto"/>
                <w:kern w:val="2"/>
                <w:sz w:val="24"/>
                <w:szCs w:val="24"/>
                <w:highlight w:val="none"/>
                <w:vertAlign w:val="baseline"/>
                <w:lang w:val="en-US" w:eastAsia="zh-CN" w:bidi="ar-SA"/>
              </w:rPr>
              <w:t>注:</w:t>
            </w:r>
            <w:r>
              <w:rPr>
                <w:rFonts w:hint="eastAsia" w:ascii="宋体" w:hAnsi="宋体" w:eastAsia="宋体" w:cs="宋体"/>
                <w:b/>
                <w:bCs/>
                <w:i w:val="0"/>
                <w:iCs w:val="0"/>
                <w:color w:val="auto"/>
                <w:kern w:val="0"/>
                <w:sz w:val="24"/>
                <w:szCs w:val="24"/>
                <w:highlight w:val="none"/>
                <w:u w:val="none"/>
                <w:shd w:val="clear" w:color="auto" w:fill="auto"/>
                <w:lang w:val="en-US" w:eastAsia="zh-CN" w:bidi="ar"/>
              </w:rPr>
              <w:t>响应文件中需同时提供证书扫描件及全国认证认可信息公共服务平台查询截图证明，无证明材料不得分。</w:t>
            </w:r>
          </w:p>
        </w:tc>
        <w:tc>
          <w:tcPr>
            <w:tcW w:w="8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0E5D410F">
            <w:pPr>
              <w:spacing w:line="360" w:lineRule="auto"/>
              <w:jc w:val="center"/>
              <w:rPr>
                <w:rFonts w:hint="default"/>
                <w:color w:val="000000"/>
                <w:lang w:val="en-US"/>
              </w:rPr>
            </w:pPr>
            <w:r>
              <w:rPr>
                <w:rFonts w:hint="default" w:ascii="宋体" w:hAnsi="宋体" w:eastAsia="宋体" w:cs="宋体"/>
                <w:b w:val="0"/>
                <w:bCs w:val="0"/>
                <w:i w:val="0"/>
                <w:iCs w:val="0"/>
                <w:color w:val="000000"/>
                <w:kern w:val="2"/>
                <w:sz w:val="24"/>
                <w:szCs w:val="24"/>
                <w:highlight w:val="none"/>
                <w:vertAlign w:val="baseline"/>
                <w:lang w:val="en-US" w:eastAsia="zh-CN" w:bidi="ar-SA"/>
              </w:rPr>
              <w:t>0-</w:t>
            </w:r>
            <w:r>
              <w:rPr>
                <w:rFonts w:hint="eastAsia" w:ascii="宋体" w:hAnsi="宋体" w:cs="宋体"/>
                <w:b w:val="0"/>
                <w:bCs w:val="0"/>
                <w:i w:val="0"/>
                <w:iCs w:val="0"/>
                <w:color w:val="000000"/>
                <w:kern w:val="2"/>
                <w:sz w:val="24"/>
                <w:szCs w:val="24"/>
                <w:highlight w:val="none"/>
                <w:vertAlign w:val="baseline"/>
                <w:lang w:val="en-US" w:eastAsia="zh-CN" w:bidi="ar-SA"/>
              </w:rPr>
              <w:t>12</w:t>
            </w:r>
          </w:p>
        </w:tc>
      </w:tr>
      <w:tr w14:paraId="68C4F90A">
        <w:tblPrEx>
          <w:tblCellMar>
            <w:top w:w="28" w:type="dxa"/>
            <w:left w:w="51" w:type="dxa"/>
            <w:bottom w:w="28" w:type="dxa"/>
            <w:right w:w="51" w:type="dxa"/>
          </w:tblCellMar>
        </w:tblPrEx>
        <w:trPr>
          <w:trHeight w:val="455"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14:paraId="57A5DBE3">
            <w:pPr>
              <w:spacing w:line="360" w:lineRule="auto"/>
              <w:jc w:val="left"/>
              <w:rPr>
                <w:color w:val="000000"/>
              </w:rPr>
            </w:pPr>
          </w:p>
        </w:tc>
        <w:tc>
          <w:tcPr>
            <w:tcW w:w="1134"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3BE48FB5">
            <w:pPr>
              <w:widowControl/>
              <w:spacing w:line="360" w:lineRule="auto"/>
              <w:jc w:val="center"/>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项目团队</w:t>
            </w:r>
            <w:r>
              <w:rPr>
                <w:rFonts w:hint="default" w:ascii="宋体" w:hAnsi="宋体" w:eastAsia="宋体" w:cs="宋体"/>
                <w:b w:val="0"/>
                <w:bCs w:val="0"/>
                <w:i w:val="0"/>
                <w:iCs w:val="0"/>
                <w:color w:val="000000"/>
                <w:kern w:val="0"/>
                <w:sz w:val="24"/>
                <w:szCs w:val="24"/>
                <w:highlight w:val="none"/>
                <w:vertAlign w:val="baseline"/>
                <w:lang w:val="en-US" w:eastAsia="zh-CN"/>
              </w:rPr>
              <w:t>人员配备</w:t>
            </w:r>
          </w:p>
        </w:tc>
        <w:tc>
          <w:tcPr>
            <w:tcW w:w="64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33CB9C7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shd w:val="clear" w:color="auto" w:fill="auto"/>
                <w:lang w:val="en-US" w:eastAsia="zh-CN" w:bidi="ar"/>
              </w:rPr>
              <w:t>（1）</w:t>
            </w:r>
            <w:r>
              <w:rPr>
                <w:rFonts w:hint="eastAsia" w:ascii="宋体" w:hAnsi="宋体" w:eastAsia="宋体" w:cs="宋体"/>
                <w:i w:val="0"/>
                <w:iCs w:val="0"/>
                <w:color w:val="auto"/>
                <w:kern w:val="0"/>
                <w:sz w:val="24"/>
                <w:szCs w:val="24"/>
                <w:highlight w:val="none"/>
                <w:u w:val="none"/>
                <w:shd w:val="clear" w:color="auto" w:fill="auto"/>
                <w:lang w:val="en-US" w:eastAsia="zh-CN" w:bidi="ar"/>
              </w:rPr>
              <w:t>供应商拟为本项目配备的项目负责人（1人），系统集成项目管理工程师证书或信息系统项目架构设计师证书的，得6分；</w:t>
            </w:r>
          </w:p>
          <w:p w14:paraId="141AC17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highlight w:val="none"/>
                <w:u w:val="none"/>
                <w:shd w:val="clear" w:color="auto" w:fill="auto"/>
                <w:lang w:val="en-US" w:eastAsia="zh-CN" w:bidi="ar"/>
              </w:rPr>
              <w:t>（2）除项目负责人外，供应商拟为本项目配备的团队成员具有系统集成项目管理工程师证书或信息系统项目架构设计师证书的，每具有1人得6分，满分12分。</w:t>
            </w:r>
          </w:p>
          <w:p w14:paraId="3293394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rPr>
                <w:color w:val="000000"/>
              </w:rPr>
            </w:pPr>
            <w:r>
              <w:rPr>
                <w:rFonts w:hint="eastAsia" w:ascii="宋体" w:hAnsi="宋体" w:eastAsia="宋体" w:cs="宋体"/>
                <w:b/>
                <w:bCs/>
                <w:i w:val="0"/>
                <w:iCs w:val="0"/>
                <w:color w:val="auto"/>
                <w:kern w:val="0"/>
                <w:sz w:val="24"/>
                <w:szCs w:val="24"/>
                <w:highlight w:val="none"/>
                <w:u w:val="none"/>
                <w:shd w:val="clear" w:color="auto" w:fill="auto"/>
                <w:lang w:val="en-US" w:eastAsia="zh-CN" w:bidi="ar"/>
              </w:rPr>
              <w:t>注：</w:t>
            </w:r>
            <w:r>
              <w:rPr>
                <w:rFonts w:hint="eastAsia" w:ascii="宋体" w:hAnsi="宋体" w:eastAsia="宋体" w:cs="宋体"/>
                <w:i w:val="0"/>
                <w:iCs w:val="0"/>
                <w:color w:val="auto"/>
                <w:kern w:val="0"/>
                <w:sz w:val="24"/>
                <w:szCs w:val="24"/>
                <w:highlight w:val="none"/>
                <w:u w:val="none"/>
                <w:shd w:val="clear" w:color="auto" w:fill="auto"/>
                <w:lang w:val="en-US" w:eastAsia="zh-CN" w:bidi="ar"/>
              </w:rPr>
              <w:br w:type="textWrapping"/>
            </w:r>
            <w:r>
              <w:rPr>
                <w:rFonts w:hint="eastAsia" w:ascii="宋体" w:hAnsi="宋体" w:eastAsia="宋体" w:cs="宋体"/>
                <w:b/>
                <w:bCs/>
                <w:i w:val="0"/>
                <w:iCs w:val="0"/>
                <w:color w:val="auto"/>
                <w:kern w:val="0"/>
                <w:sz w:val="24"/>
                <w:szCs w:val="24"/>
                <w:highlight w:val="none"/>
                <w:u w:val="none"/>
                <w:shd w:val="clear" w:color="auto" w:fill="auto"/>
                <w:lang w:val="en-US" w:eastAsia="zh-CN" w:bidi="ar"/>
              </w:rPr>
              <w:t>1.上述人员不得兼任，并提供人员证书扫描件及人员名单；</w:t>
            </w:r>
            <w:r>
              <w:rPr>
                <w:rFonts w:hint="eastAsia" w:ascii="宋体" w:hAnsi="宋体" w:eastAsia="宋体" w:cs="宋体"/>
                <w:b/>
                <w:bCs/>
                <w:i w:val="0"/>
                <w:iCs w:val="0"/>
                <w:color w:val="auto"/>
                <w:kern w:val="0"/>
                <w:sz w:val="24"/>
                <w:szCs w:val="24"/>
                <w:highlight w:val="none"/>
                <w:u w:val="none"/>
                <w:shd w:val="clear" w:color="auto" w:fill="auto"/>
                <w:lang w:val="en-US" w:eastAsia="zh-CN" w:bidi="ar"/>
              </w:rPr>
              <w:br w:type="textWrapping"/>
            </w:r>
            <w:r>
              <w:rPr>
                <w:rFonts w:hint="eastAsia" w:ascii="宋体" w:hAnsi="宋体" w:eastAsia="宋体" w:cs="宋体"/>
                <w:b/>
                <w:bCs/>
                <w:i w:val="0"/>
                <w:iCs w:val="0"/>
                <w:color w:val="auto"/>
                <w:kern w:val="0"/>
                <w:sz w:val="24"/>
                <w:szCs w:val="24"/>
                <w:highlight w:val="none"/>
                <w:u w:val="none"/>
                <w:shd w:val="clear" w:color="auto" w:fill="auto"/>
                <w:lang w:val="en-US" w:eastAsia="zh-CN" w:bidi="ar"/>
              </w:rPr>
              <w:t>2.响应文件中提供供应商为拟配备人员缴纳近六个月以来任意1个月的社保证明材料。</w:t>
            </w:r>
          </w:p>
        </w:tc>
        <w:tc>
          <w:tcPr>
            <w:tcW w:w="8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544C5554">
            <w:pPr>
              <w:spacing w:line="360" w:lineRule="auto"/>
              <w:jc w:val="center"/>
              <w:rPr>
                <w:rFonts w:hint="default"/>
                <w:color w:val="000000"/>
                <w:lang w:val="en-US"/>
              </w:rPr>
            </w:pPr>
            <w:r>
              <w:rPr>
                <w:rFonts w:hint="eastAsia" w:ascii="宋体" w:hAnsi="宋体" w:eastAsia="宋体" w:cs="宋体"/>
                <w:b w:val="0"/>
                <w:bCs w:val="0"/>
                <w:i w:val="0"/>
                <w:iCs w:val="0"/>
                <w:color w:val="000000"/>
                <w:kern w:val="2"/>
                <w:sz w:val="24"/>
                <w:szCs w:val="24"/>
                <w:highlight w:val="none"/>
                <w:vertAlign w:val="baseline"/>
                <w:lang w:val="en-US" w:eastAsia="zh-CN" w:bidi="ar-SA"/>
              </w:rPr>
              <w:t>0-18</w:t>
            </w:r>
          </w:p>
        </w:tc>
      </w:tr>
      <w:tr w14:paraId="27D26960">
        <w:tblPrEx>
          <w:tblCellMar>
            <w:top w:w="28" w:type="dxa"/>
            <w:left w:w="51" w:type="dxa"/>
            <w:bottom w:w="28" w:type="dxa"/>
            <w:right w:w="51" w:type="dxa"/>
          </w:tblCellMar>
        </w:tblPrEx>
        <w:trPr>
          <w:trHeight w:val="1809"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14:paraId="037C1FC0">
            <w:pPr>
              <w:spacing w:line="360" w:lineRule="auto"/>
              <w:jc w:val="left"/>
              <w:rPr>
                <w:color w:val="000000"/>
              </w:rPr>
            </w:pPr>
          </w:p>
        </w:tc>
        <w:tc>
          <w:tcPr>
            <w:tcW w:w="1134"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02A25CCA">
            <w:pPr>
              <w:widowControl/>
              <w:spacing w:line="400" w:lineRule="exact"/>
              <w:jc w:val="center"/>
              <w:rPr>
                <w:rFonts w:hint="eastAsia" w:ascii="Times New Roman" w:hAnsi="Times New Roman" w:eastAsia="宋体" w:cs="Times New Roman"/>
                <w:color w:val="000000"/>
                <w:kern w:val="2"/>
                <w:sz w:val="21"/>
                <w:lang w:val="en-US" w:eastAsia="zh-CN" w:bidi="ar-SA"/>
              </w:rPr>
            </w:pPr>
            <w:r>
              <w:rPr>
                <w:rFonts w:hint="default" w:ascii="Times New Roman" w:hAnsi="Times New Roman" w:eastAsia="宋体" w:cs="Times New Roman"/>
                <w:b w:val="0"/>
                <w:bCs w:val="0"/>
                <w:i w:val="0"/>
                <w:iCs w:val="0"/>
                <w:color w:val="000000"/>
                <w:kern w:val="2"/>
                <w:sz w:val="24"/>
                <w:szCs w:val="24"/>
                <w:highlight w:val="none"/>
                <w:vertAlign w:val="baseline"/>
                <w:lang w:val="en-US" w:eastAsia="zh-CN" w:bidi="ar-SA"/>
              </w:rPr>
              <w:t>实施方案</w:t>
            </w:r>
          </w:p>
        </w:tc>
        <w:tc>
          <w:tcPr>
            <w:tcW w:w="64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79CA206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小组根据采购文件要求及供应商提供的</w:t>
            </w:r>
            <w:r>
              <w:rPr>
                <w:rFonts w:hint="default" w:ascii="Times New Roman" w:hAnsi="Times New Roman" w:eastAsia="宋体" w:cs="Times New Roman"/>
                <w:b w:val="0"/>
                <w:bCs w:val="0"/>
                <w:i w:val="0"/>
                <w:iCs w:val="0"/>
                <w:color w:val="000000"/>
                <w:kern w:val="2"/>
                <w:sz w:val="24"/>
                <w:szCs w:val="24"/>
                <w:highlight w:val="none"/>
                <w:vertAlign w:val="baseline"/>
                <w:lang w:val="en-US" w:eastAsia="zh-CN" w:bidi="ar-SA"/>
              </w:rPr>
              <w:t>实施方案</w:t>
            </w:r>
            <w:r>
              <w:rPr>
                <w:rFonts w:hint="default" w:ascii="宋体" w:hAnsi="宋体" w:eastAsia="宋体" w:cs="宋体"/>
                <w:b w:val="0"/>
                <w:bCs w:val="0"/>
                <w:i w:val="0"/>
                <w:iCs w:val="0"/>
                <w:color w:val="000000"/>
                <w:kern w:val="2"/>
                <w:sz w:val="24"/>
                <w:szCs w:val="24"/>
                <w:highlight w:val="none"/>
                <w:vertAlign w:val="baseline"/>
                <w:lang w:val="en-US" w:eastAsia="zh-CN" w:bidi="ar-SA"/>
              </w:rPr>
              <w:t>情况，方案包含但不限于：</w:t>
            </w:r>
          </w:p>
          <w:p w14:paraId="1D971C8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zh-CN" w:eastAsia="zh-CN" w:bidi="ar-SA"/>
              </w:rPr>
              <w:t>①</w:t>
            </w:r>
            <w:r>
              <w:rPr>
                <w:rFonts w:hint="eastAsia" w:ascii="宋体" w:hAnsi="宋体" w:eastAsia="宋体" w:cs="宋体"/>
                <w:spacing w:val="-1"/>
                <w:sz w:val="24"/>
                <w:szCs w:val="24"/>
                <w:highlight w:val="none"/>
              </w:rPr>
              <w:t>项目管理保障</w:t>
            </w:r>
            <w:r>
              <w:rPr>
                <w:rFonts w:hint="eastAsia" w:ascii="宋体" w:hAnsi="宋体" w:eastAsia="宋体" w:cs="宋体"/>
                <w:spacing w:val="-2"/>
                <w:sz w:val="24"/>
                <w:szCs w:val="24"/>
                <w:highlight w:val="none"/>
              </w:rPr>
              <w:t>体系</w:t>
            </w:r>
            <w:r>
              <w:rPr>
                <w:rFonts w:hint="default" w:ascii="宋体" w:hAnsi="宋体" w:eastAsia="宋体" w:cs="宋体"/>
                <w:b w:val="0"/>
                <w:bCs w:val="0"/>
                <w:i w:val="0"/>
                <w:iCs w:val="0"/>
                <w:color w:val="000000"/>
                <w:kern w:val="2"/>
                <w:sz w:val="24"/>
                <w:szCs w:val="24"/>
                <w:highlight w:val="none"/>
                <w:vertAlign w:val="baseline"/>
                <w:lang w:val="zh-CN" w:eastAsia="zh-CN" w:bidi="ar-SA"/>
              </w:rPr>
              <w:t>；</w:t>
            </w:r>
          </w:p>
          <w:p w14:paraId="4DDD043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zh-CN" w:eastAsia="zh-CN" w:bidi="ar-SA"/>
              </w:rPr>
              <w:t>②</w:t>
            </w:r>
            <w:r>
              <w:rPr>
                <w:rFonts w:hint="eastAsia" w:ascii="宋体" w:hAnsi="宋体" w:eastAsia="宋体" w:cs="宋体"/>
                <w:spacing w:val="-2"/>
                <w:sz w:val="24"/>
                <w:szCs w:val="24"/>
                <w:highlight w:val="none"/>
              </w:rPr>
              <w:t>项目实施组织</w:t>
            </w:r>
            <w:r>
              <w:rPr>
                <w:rFonts w:hint="default" w:ascii="宋体" w:hAnsi="宋体" w:eastAsia="宋体" w:cs="宋体"/>
                <w:b w:val="0"/>
                <w:bCs w:val="0"/>
                <w:i w:val="0"/>
                <w:iCs w:val="0"/>
                <w:color w:val="000000"/>
                <w:kern w:val="2"/>
                <w:sz w:val="24"/>
                <w:szCs w:val="24"/>
                <w:highlight w:val="none"/>
                <w:vertAlign w:val="baseline"/>
                <w:lang w:val="zh-CN" w:eastAsia="zh-CN" w:bidi="ar-SA"/>
              </w:rPr>
              <w:t>；</w:t>
            </w:r>
          </w:p>
          <w:p w14:paraId="7FCF42A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b w:val="0"/>
                <w:bCs w:val="0"/>
                <w:i w:val="0"/>
                <w:iCs w:val="0"/>
                <w:color w:val="000000"/>
                <w:kern w:val="2"/>
                <w:sz w:val="24"/>
                <w:szCs w:val="24"/>
                <w:highlight w:val="none"/>
                <w:vertAlign w:val="baseline"/>
                <w:lang w:val="zh-CN" w:eastAsia="zh-CN" w:bidi="ar-SA"/>
              </w:rPr>
            </w:pPr>
            <w:r>
              <w:rPr>
                <w:rFonts w:hint="default" w:ascii="宋体" w:hAnsi="宋体" w:eastAsia="宋体" w:cs="宋体"/>
                <w:b w:val="0"/>
                <w:bCs w:val="0"/>
                <w:i w:val="0"/>
                <w:iCs w:val="0"/>
                <w:color w:val="000000"/>
                <w:kern w:val="2"/>
                <w:sz w:val="24"/>
                <w:szCs w:val="24"/>
                <w:highlight w:val="none"/>
                <w:vertAlign w:val="baseline"/>
                <w:lang w:val="zh-CN" w:eastAsia="zh-CN" w:bidi="ar-SA"/>
              </w:rPr>
              <w:t>③</w:t>
            </w:r>
            <w:r>
              <w:rPr>
                <w:rFonts w:hint="eastAsia" w:ascii="宋体" w:hAnsi="宋体" w:eastAsia="宋体" w:cs="宋体"/>
                <w:spacing w:val="-2"/>
                <w:sz w:val="24"/>
                <w:szCs w:val="24"/>
                <w:highlight w:val="none"/>
              </w:rPr>
              <w:t>实施进度计划</w:t>
            </w:r>
            <w:r>
              <w:rPr>
                <w:rFonts w:hint="default" w:ascii="宋体" w:hAnsi="宋体" w:eastAsia="宋体" w:cs="宋体"/>
                <w:b w:val="0"/>
                <w:bCs w:val="0"/>
                <w:i w:val="0"/>
                <w:iCs w:val="0"/>
                <w:color w:val="000000"/>
                <w:kern w:val="2"/>
                <w:sz w:val="24"/>
                <w:szCs w:val="24"/>
                <w:highlight w:val="none"/>
                <w:vertAlign w:val="baseline"/>
                <w:lang w:val="zh-CN" w:eastAsia="zh-CN" w:bidi="ar-SA"/>
              </w:rPr>
              <w:t>；</w:t>
            </w:r>
          </w:p>
          <w:p w14:paraId="0EEE2E0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i w:val="0"/>
                <w:iCs w:val="0"/>
                <w:color w:val="000000"/>
                <w:kern w:val="2"/>
                <w:sz w:val="24"/>
                <w:szCs w:val="24"/>
                <w:highlight w:val="none"/>
                <w:vertAlign w:val="baseline"/>
                <w:lang w:val="en-US" w:eastAsia="zh-CN" w:bidi="ar-SA"/>
              </w:rPr>
            </w:pPr>
            <w:r>
              <w:rPr>
                <w:rFonts w:hint="eastAsia" w:ascii="宋体" w:hAnsi="宋体" w:eastAsia="宋体" w:cs="宋体"/>
                <w:b w:val="0"/>
                <w:bCs w:val="0"/>
                <w:i w:val="0"/>
                <w:iCs w:val="0"/>
                <w:color w:val="000000"/>
                <w:kern w:val="2"/>
                <w:sz w:val="24"/>
                <w:szCs w:val="24"/>
                <w:highlight w:val="none"/>
                <w:vertAlign w:val="baseline"/>
                <w:lang w:val="en-US" w:eastAsia="zh-CN" w:bidi="ar-SA"/>
              </w:rPr>
              <w:t>④</w:t>
            </w:r>
            <w:r>
              <w:rPr>
                <w:rFonts w:hint="eastAsia" w:ascii="宋体" w:hAnsi="宋体" w:eastAsia="宋体" w:cs="宋体"/>
                <w:spacing w:val="-2"/>
                <w:sz w:val="24"/>
                <w:szCs w:val="24"/>
                <w:highlight w:val="none"/>
              </w:rPr>
              <w:t>工期保证措施</w:t>
            </w:r>
            <w:r>
              <w:rPr>
                <w:rFonts w:hint="eastAsia" w:ascii="宋体" w:hAnsi="宋体" w:eastAsia="宋体" w:cs="宋体"/>
                <w:spacing w:val="-2"/>
                <w:sz w:val="24"/>
                <w:szCs w:val="24"/>
                <w:highlight w:val="none"/>
                <w:lang w:eastAsia="zh-CN"/>
              </w:rPr>
              <w:t>；</w:t>
            </w:r>
          </w:p>
          <w:p w14:paraId="27E3FABF">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根据供应商提供的方案中针对上述内容的体现情况，由</w:t>
            </w: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小组进行综合评审：</w:t>
            </w:r>
          </w:p>
          <w:p w14:paraId="7677A1A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(1)对本项目特点和难点理解准确，方案优于本项目采购需求，完整详细，可行性、实用性、针对性强，得</w:t>
            </w:r>
            <w:r>
              <w:rPr>
                <w:rFonts w:hint="eastAsia" w:ascii="宋体" w:hAnsi="宋体" w:cs="宋体"/>
                <w:b w:val="0"/>
                <w:bCs w:val="0"/>
                <w:i w:val="0"/>
                <w:iCs w:val="0"/>
                <w:color w:val="000000"/>
                <w:kern w:val="2"/>
                <w:sz w:val="24"/>
                <w:szCs w:val="24"/>
                <w:highlight w:val="none"/>
                <w:vertAlign w:val="baseline"/>
                <w:lang w:val="en-US" w:eastAsia="zh-CN" w:bidi="ar-SA"/>
              </w:rPr>
              <w:t>8</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4BC2DD5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(2)对本项目特点和难点理解基本准确，方案适合本项目采购需求，完整详细，具有可行性、实用性和针对性，得</w:t>
            </w:r>
            <w:r>
              <w:rPr>
                <w:rFonts w:hint="eastAsia" w:ascii="宋体" w:hAnsi="宋体" w:cs="宋体"/>
                <w:b w:val="0"/>
                <w:bCs w:val="0"/>
                <w:i w:val="0"/>
                <w:iCs w:val="0"/>
                <w:color w:val="000000"/>
                <w:kern w:val="2"/>
                <w:sz w:val="24"/>
                <w:szCs w:val="24"/>
                <w:highlight w:val="none"/>
                <w:vertAlign w:val="baseline"/>
                <w:lang w:val="en-US" w:eastAsia="zh-CN" w:bidi="ar-SA"/>
              </w:rPr>
              <w:t>5</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6CC936D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(3)对本项目特点和难点理解有待提升，方案基本适合本项目采购需求，可行性、实用性、针对性有待改善，得</w:t>
            </w:r>
            <w:r>
              <w:rPr>
                <w:rFonts w:hint="eastAsia" w:ascii="宋体" w:hAnsi="宋体" w:cs="宋体"/>
                <w:b w:val="0"/>
                <w:bCs w:val="0"/>
                <w:i w:val="0"/>
                <w:iCs w:val="0"/>
                <w:color w:val="000000"/>
                <w:kern w:val="2"/>
                <w:sz w:val="24"/>
                <w:szCs w:val="24"/>
                <w:highlight w:val="none"/>
                <w:vertAlign w:val="baseline"/>
                <w:lang w:val="en-US" w:eastAsia="zh-CN" w:bidi="ar-SA"/>
              </w:rPr>
              <w:t>3</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77993CD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2"/>
                <w:sz w:val="21"/>
                <w:lang w:val="en-US" w:eastAsia="zh-CN" w:bidi="ar-SA"/>
              </w:rPr>
            </w:pPr>
            <w:r>
              <w:rPr>
                <w:rFonts w:hint="default" w:ascii="宋体" w:hAnsi="宋体" w:eastAsia="宋体" w:cs="宋体"/>
                <w:b w:val="0"/>
                <w:bCs w:val="0"/>
                <w:i w:val="0"/>
                <w:iCs w:val="0"/>
                <w:color w:val="000000"/>
                <w:kern w:val="2"/>
                <w:sz w:val="24"/>
                <w:szCs w:val="24"/>
                <w:highlight w:val="none"/>
                <w:vertAlign w:val="baseline"/>
                <w:lang w:val="en-US" w:eastAsia="zh-CN" w:bidi="ar-SA"/>
              </w:rPr>
              <w:t>(4)方案不可行或者未提供得0分。</w:t>
            </w:r>
          </w:p>
        </w:tc>
        <w:tc>
          <w:tcPr>
            <w:tcW w:w="8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39606E55">
            <w:pPr>
              <w:spacing w:line="360" w:lineRule="auto"/>
              <w:jc w:val="center"/>
              <w:rPr>
                <w:rFonts w:hint="eastAsia" w:ascii="Times New Roman" w:hAnsi="Times New Roman" w:eastAsia="宋体" w:cs="Times New Roman"/>
                <w:color w:val="000000"/>
                <w:kern w:val="2"/>
                <w:sz w:val="21"/>
                <w:lang w:val="en-US" w:eastAsia="zh-CN" w:bidi="ar-SA"/>
              </w:rPr>
            </w:pPr>
            <w:r>
              <w:rPr>
                <w:rFonts w:hint="default" w:ascii="宋体" w:hAnsi="宋体" w:eastAsia="宋体" w:cs="宋体"/>
                <w:b w:val="0"/>
                <w:bCs w:val="0"/>
                <w:i w:val="0"/>
                <w:iCs w:val="0"/>
                <w:color w:val="000000"/>
                <w:kern w:val="2"/>
                <w:sz w:val="24"/>
                <w:szCs w:val="24"/>
                <w:highlight w:val="none"/>
                <w:vertAlign w:val="baseline"/>
                <w:lang w:val="en-US" w:eastAsia="zh-CN" w:bidi="ar-SA"/>
              </w:rPr>
              <w:t>0-</w:t>
            </w:r>
            <w:r>
              <w:rPr>
                <w:rFonts w:hint="eastAsia" w:ascii="宋体" w:hAnsi="宋体" w:cs="宋体"/>
                <w:b w:val="0"/>
                <w:bCs w:val="0"/>
                <w:i w:val="0"/>
                <w:iCs w:val="0"/>
                <w:color w:val="000000"/>
                <w:kern w:val="2"/>
                <w:sz w:val="24"/>
                <w:szCs w:val="24"/>
                <w:highlight w:val="none"/>
                <w:vertAlign w:val="baseline"/>
                <w:lang w:val="en-US" w:eastAsia="zh-CN" w:bidi="ar-SA"/>
              </w:rPr>
              <w:t>8</w:t>
            </w:r>
          </w:p>
        </w:tc>
      </w:tr>
      <w:tr w14:paraId="687FD1DF">
        <w:tblPrEx>
          <w:tblCellMar>
            <w:top w:w="28" w:type="dxa"/>
            <w:left w:w="51" w:type="dxa"/>
            <w:bottom w:w="28" w:type="dxa"/>
            <w:right w:w="51" w:type="dxa"/>
          </w:tblCellMar>
        </w:tblPrEx>
        <w:trPr>
          <w:trHeight w:val="1809"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14:paraId="21D687D3">
            <w:pPr>
              <w:spacing w:line="360" w:lineRule="auto"/>
              <w:jc w:val="left"/>
              <w:rPr>
                <w:color w:val="000000"/>
              </w:rPr>
            </w:pPr>
          </w:p>
        </w:tc>
        <w:tc>
          <w:tcPr>
            <w:tcW w:w="1134"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1CF08BDD">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b w:val="0"/>
                <w:bCs w:val="0"/>
                <w:i w:val="0"/>
                <w:iCs w:val="0"/>
                <w:color w:val="000000"/>
                <w:kern w:val="2"/>
                <w:sz w:val="24"/>
                <w:szCs w:val="24"/>
                <w:highlight w:val="none"/>
                <w:vertAlign w:val="baseline"/>
                <w:lang w:val="en-US" w:eastAsia="zh-CN" w:bidi="ar-SA"/>
              </w:rPr>
            </w:pPr>
            <w:r>
              <w:rPr>
                <w:rFonts w:hint="eastAsia" w:ascii="Times New Roman" w:hAnsi="Times New Roman" w:eastAsia="宋体" w:cs="Times New Roman"/>
                <w:b w:val="0"/>
                <w:bCs w:val="0"/>
                <w:i w:val="0"/>
                <w:iCs w:val="0"/>
                <w:color w:val="000000"/>
                <w:kern w:val="2"/>
                <w:sz w:val="24"/>
                <w:szCs w:val="24"/>
                <w:highlight w:val="none"/>
                <w:vertAlign w:val="baseline"/>
                <w:lang w:val="en-US" w:eastAsia="zh-CN" w:bidi="ar-SA"/>
              </w:rPr>
              <w:t>技术实施方案</w:t>
            </w:r>
          </w:p>
        </w:tc>
        <w:tc>
          <w:tcPr>
            <w:tcW w:w="64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1E3DA93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小组根据采购文件要求及供应商提供的</w:t>
            </w:r>
            <w:r>
              <w:rPr>
                <w:rFonts w:hint="eastAsia" w:ascii="宋体" w:hAnsi="宋体" w:eastAsia="宋体" w:cs="宋体"/>
                <w:b w:val="0"/>
                <w:bCs w:val="0"/>
                <w:i w:val="0"/>
                <w:iCs w:val="0"/>
                <w:color w:val="000000"/>
                <w:kern w:val="2"/>
                <w:sz w:val="24"/>
                <w:szCs w:val="24"/>
                <w:highlight w:val="none"/>
                <w:vertAlign w:val="baseline"/>
                <w:lang w:val="en-US" w:eastAsia="zh-CN" w:bidi="ar-SA"/>
              </w:rPr>
              <w:t>技术</w:t>
            </w:r>
            <w:r>
              <w:rPr>
                <w:rFonts w:hint="default" w:ascii="Times New Roman" w:hAnsi="Times New Roman" w:eastAsia="宋体" w:cs="Times New Roman"/>
                <w:b w:val="0"/>
                <w:bCs w:val="0"/>
                <w:i w:val="0"/>
                <w:iCs w:val="0"/>
                <w:color w:val="000000"/>
                <w:kern w:val="2"/>
                <w:sz w:val="24"/>
                <w:szCs w:val="24"/>
                <w:highlight w:val="none"/>
                <w:vertAlign w:val="baseline"/>
                <w:lang w:val="en-US" w:eastAsia="zh-CN" w:bidi="ar-SA"/>
              </w:rPr>
              <w:t>实施方案</w:t>
            </w:r>
            <w:r>
              <w:rPr>
                <w:rFonts w:hint="default" w:ascii="宋体" w:hAnsi="宋体" w:eastAsia="宋体" w:cs="宋体"/>
                <w:b w:val="0"/>
                <w:bCs w:val="0"/>
                <w:i w:val="0"/>
                <w:iCs w:val="0"/>
                <w:color w:val="000000"/>
                <w:kern w:val="2"/>
                <w:sz w:val="24"/>
                <w:szCs w:val="24"/>
                <w:highlight w:val="none"/>
                <w:vertAlign w:val="baseline"/>
                <w:lang w:val="en-US" w:eastAsia="zh-CN" w:bidi="ar-SA"/>
              </w:rPr>
              <w:t>情况，方案包含但不限于</w:t>
            </w:r>
            <w:r>
              <w:rPr>
                <w:rFonts w:hint="eastAsia" w:ascii="宋体" w:hAnsi="宋体" w:eastAsia="宋体" w:cs="宋体"/>
                <w:b w:val="0"/>
                <w:bCs w:val="0"/>
                <w:i w:val="0"/>
                <w:iCs w:val="0"/>
                <w:color w:val="000000"/>
                <w:kern w:val="2"/>
                <w:sz w:val="24"/>
                <w:szCs w:val="24"/>
                <w:highlight w:val="none"/>
                <w:vertAlign w:val="baseline"/>
                <w:lang w:val="en-US" w:eastAsia="zh-CN" w:bidi="ar-SA"/>
              </w:rPr>
              <w:t>实施方案</w:t>
            </w:r>
            <w:r>
              <w:rPr>
                <w:rFonts w:hint="eastAsia" w:ascii="宋体" w:hAnsi="宋体" w:eastAsia="宋体" w:cs="宋体"/>
                <w:i w:val="0"/>
                <w:iCs w:val="0"/>
                <w:color w:val="auto"/>
                <w:kern w:val="0"/>
                <w:sz w:val="22"/>
                <w:szCs w:val="22"/>
                <w:highlight w:val="none"/>
                <w:u w:val="none"/>
                <w:shd w:val="clear" w:color="auto" w:fill="auto"/>
                <w:lang w:val="en-US" w:eastAsia="zh-CN" w:bidi="ar"/>
              </w:rPr>
              <w:t>完整，进度安排切实可行的，</w:t>
            </w:r>
            <w:r>
              <w:rPr>
                <w:rFonts w:hint="default" w:ascii="宋体" w:hAnsi="宋体" w:eastAsia="宋体" w:cs="宋体"/>
                <w:b w:val="0"/>
                <w:bCs w:val="0"/>
                <w:i w:val="0"/>
                <w:iCs w:val="0"/>
                <w:color w:val="000000"/>
                <w:kern w:val="2"/>
                <w:sz w:val="24"/>
                <w:szCs w:val="24"/>
                <w:highlight w:val="none"/>
                <w:vertAlign w:val="baseline"/>
                <w:lang w:val="en-US" w:eastAsia="zh-CN" w:bidi="ar-SA"/>
              </w:rPr>
              <w:t>根据供应商提供的方案</w:t>
            </w:r>
            <w:r>
              <w:rPr>
                <w:rFonts w:hint="eastAsia" w:ascii="宋体" w:hAnsi="宋体" w:eastAsia="宋体" w:cs="宋体"/>
                <w:b w:val="0"/>
                <w:bCs w:val="0"/>
                <w:i w:val="0"/>
                <w:iCs w:val="0"/>
                <w:color w:val="000000"/>
                <w:kern w:val="2"/>
                <w:sz w:val="24"/>
                <w:szCs w:val="24"/>
                <w:highlight w:val="none"/>
                <w:vertAlign w:val="baseline"/>
                <w:lang w:val="en-US" w:eastAsia="zh-CN" w:bidi="ar-SA"/>
              </w:rPr>
              <w:t>完整可行性</w:t>
            </w:r>
            <w:r>
              <w:rPr>
                <w:rFonts w:hint="default" w:ascii="宋体" w:hAnsi="宋体" w:eastAsia="宋体" w:cs="宋体"/>
                <w:b w:val="0"/>
                <w:bCs w:val="0"/>
                <w:i w:val="0"/>
                <w:iCs w:val="0"/>
                <w:color w:val="000000"/>
                <w:kern w:val="2"/>
                <w:sz w:val="24"/>
                <w:szCs w:val="24"/>
                <w:highlight w:val="none"/>
                <w:vertAlign w:val="baseline"/>
                <w:lang w:val="en-US" w:eastAsia="zh-CN" w:bidi="ar-SA"/>
              </w:rPr>
              <w:t>，由</w:t>
            </w: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小组进行综合评审：</w:t>
            </w:r>
          </w:p>
          <w:p w14:paraId="5858237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(1)对本项目特点和难点理解准确，方案优于本项目采购需求，完整详细，可行性、实用性、针对性强，得</w:t>
            </w:r>
            <w:r>
              <w:rPr>
                <w:rFonts w:hint="eastAsia" w:ascii="宋体" w:hAnsi="宋体" w:eastAsia="宋体" w:cs="宋体"/>
                <w:b w:val="0"/>
                <w:bCs w:val="0"/>
                <w:i w:val="0"/>
                <w:iCs w:val="0"/>
                <w:color w:val="000000"/>
                <w:kern w:val="2"/>
                <w:sz w:val="24"/>
                <w:szCs w:val="24"/>
                <w:highlight w:val="none"/>
                <w:vertAlign w:val="baseline"/>
                <w:lang w:val="en-US" w:eastAsia="zh-CN" w:bidi="ar-SA"/>
              </w:rPr>
              <w:t>8</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4428B53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(2)对本项目特点和难点理解基本准确，方案适合本项目采购需求，完整详细，具有可行性、实用性和针对性，得</w:t>
            </w:r>
            <w:r>
              <w:rPr>
                <w:rFonts w:hint="eastAsia" w:ascii="宋体" w:hAnsi="宋体" w:cs="宋体"/>
                <w:b w:val="0"/>
                <w:bCs w:val="0"/>
                <w:i w:val="0"/>
                <w:iCs w:val="0"/>
                <w:color w:val="000000"/>
                <w:kern w:val="2"/>
                <w:sz w:val="24"/>
                <w:szCs w:val="24"/>
                <w:highlight w:val="none"/>
                <w:vertAlign w:val="baseline"/>
                <w:lang w:val="en-US" w:eastAsia="zh-CN" w:bidi="ar-SA"/>
              </w:rPr>
              <w:t>5</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05E620E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(3)对本项目特点和难点理解有待提升，方案基本适合本项目采购需求，可行性、实用性、针对性有待改善，得</w:t>
            </w:r>
            <w:r>
              <w:rPr>
                <w:rFonts w:hint="eastAsia" w:ascii="宋体" w:hAnsi="宋体" w:cs="宋体"/>
                <w:b w:val="0"/>
                <w:bCs w:val="0"/>
                <w:i w:val="0"/>
                <w:iCs w:val="0"/>
                <w:color w:val="000000"/>
                <w:kern w:val="2"/>
                <w:sz w:val="24"/>
                <w:szCs w:val="24"/>
                <w:highlight w:val="none"/>
                <w:vertAlign w:val="baseline"/>
                <w:lang w:val="en-US" w:eastAsia="zh-CN" w:bidi="ar-SA"/>
              </w:rPr>
              <w:t>3</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0F6827E8">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default" w:ascii="宋体" w:hAnsi="宋体" w:eastAsia="宋体" w:cs="宋体"/>
                <w:b w:val="0"/>
                <w:bCs w:val="0"/>
                <w:i w:val="0"/>
                <w:iCs w:val="0"/>
                <w:color w:val="000000"/>
                <w:kern w:val="2"/>
                <w:sz w:val="24"/>
                <w:szCs w:val="24"/>
                <w:highlight w:val="none"/>
                <w:vertAlign w:val="baseline"/>
                <w:lang w:val="en-US" w:eastAsia="zh-CN" w:bidi="ar-SA"/>
              </w:rPr>
            </w:pPr>
            <w:r>
              <w:rPr>
                <w:rFonts w:hint="default" w:ascii="宋体" w:hAnsi="宋体" w:eastAsia="宋体" w:cs="宋体"/>
                <w:b w:val="0"/>
                <w:bCs w:val="0"/>
                <w:i w:val="0"/>
                <w:iCs w:val="0"/>
                <w:color w:val="000000"/>
                <w:kern w:val="2"/>
                <w:sz w:val="24"/>
                <w:szCs w:val="24"/>
                <w:highlight w:val="none"/>
                <w:vertAlign w:val="baseline"/>
                <w:lang w:val="en-US" w:eastAsia="zh-CN" w:bidi="ar-SA"/>
              </w:rPr>
              <w:t>(4)方案不可行或者未提供得0分。</w:t>
            </w:r>
          </w:p>
        </w:tc>
        <w:tc>
          <w:tcPr>
            <w:tcW w:w="8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75373DEF">
            <w:pPr>
              <w:spacing w:line="360" w:lineRule="auto"/>
              <w:jc w:val="center"/>
              <w:rPr>
                <w:rFonts w:hint="default" w:ascii="宋体" w:hAnsi="宋体" w:eastAsia="宋体" w:cs="宋体"/>
                <w:b w:val="0"/>
                <w:bCs w:val="0"/>
                <w:i w:val="0"/>
                <w:iCs w:val="0"/>
                <w:color w:val="000000"/>
                <w:kern w:val="2"/>
                <w:sz w:val="24"/>
                <w:szCs w:val="24"/>
                <w:highlight w:val="none"/>
                <w:vertAlign w:val="baseline"/>
                <w:lang w:val="en-US" w:eastAsia="zh-CN" w:bidi="ar-SA"/>
              </w:rPr>
            </w:pPr>
            <w:r>
              <w:rPr>
                <w:rFonts w:hint="eastAsia" w:ascii="宋体" w:hAnsi="宋体" w:eastAsia="宋体" w:cs="宋体"/>
                <w:b w:val="0"/>
                <w:bCs w:val="0"/>
                <w:i w:val="0"/>
                <w:iCs w:val="0"/>
                <w:color w:val="000000"/>
                <w:kern w:val="2"/>
                <w:sz w:val="24"/>
                <w:szCs w:val="24"/>
                <w:highlight w:val="none"/>
                <w:vertAlign w:val="baseline"/>
                <w:lang w:val="en-US" w:eastAsia="zh-CN" w:bidi="ar-SA"/>
              </w:rPr>
              <w:t>0-8</w:t>
            </w:r>
          </w:p>
        </w:tc>
      </w:tr>
      <w:tr w14:paraId="08CC6E17">
        <w:tblPrEx>
          <w:tblCellMar>
            <w:top w:w="28" w:type="dxa"/>
            <w:left w:w="51" w:type="dxa"/>
            <w:bottom w:w="28" w:type="dxa"/>
            <w:right w:w="51" w:type="dxa"/>
          </w:tblCellMar>
        </w:tblPrEx>
        <w:trPr>
          <w:trHeight w:val="1809"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14:paraId="0BF2EED7">
            <w:pPr>
              <w:spacing w:line="360" w:lineRule="auto"/>
              <w:jc w:val="left"/>
              <w:rPr>
                <w:color w:val="000000"/>
              </w:rPr>
            </w:pPr>
          </w:p>
        </w:tc>
        <w:tc>
          <w:tcPr>
            <w:tcW w:w="1134"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57E43CD3">
            <w:pPr>
              <w:spacing w:line="400" w:lineRule="exact"/>
              <w:jc w:val="center"/>
              <w:rPr>
                <w:rFonts w:hint="eastAsia" w:ascii="Times New Roman" w:hAnsi="Times New Roman" w:eastAsia="宋体" w:cs="Times New Roman"/>
                <w:color w:val="000000"/>
                <w:kern w:val="2"/>
                <w:sz w:val="21"/>
                <w:lang w:val="en-US" w:eastAsia="zh-CN" w:bidi="ar-SA"/>
              </w:rPr>
            </w:pPr>
            <w:r>
              <w:rPr>
                <w:rFonts w:hint="eastAsia" w:ascii="宋体" w:hAnsi="宋体" w:eastAsia="宋体" w:cs="宋体"/>
                <w:spacing w:val="-3"/>
                <w:sz w:val="24"/>
                <w:szCs w:val="24"/>
                <w:highlight w:val="none"/>
                <w:lang w:val="en-US" w:eastAsia="zh-CN"/>
              </w:rPr>
              <w:t>安全管理</w:t>
            </w:r>
            <w:r>
              <w:rPr>
                <w:rFonts w:hint="default" w:ascii="宋体" w:hAnsi="宋体" w:eastAsia="宋体" w:cs="宋体"/>
                <w:b w:val="0"/>
                <w:bCs w:val="0"/>
                <w:i w:val="0"/>
                <w:iCs w:val="0"/>
                <w:color w:val="000000"/>
                <w:kern w:val="2"/>
                <w:sz w:val="24"/>
                <w:szCs w:val="24"/>
                <w:highlight w:val="none"/>
                <w:vertAlign w:val="baseline"/>
                <w:lang w:val="en-US" w:eastAsia="zh-CN" w:bidi="ar-SA"/>
              </w:rPr>
              <w:t>方案</w:t>
            </w:r>
          </w:p>
        </w:tc>
        <w:tc>
          <w:tcPr>
            <w:tcW w:w="64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5692555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小组根据采购文件要求及供应商提供的</w:t>
            </w:r>
            <w:r>
              <w:rPr>
                <w:rFonts w:hint="eastAsia" w:ascii="宋体" w:hAnsi="宋体" w:eastAsia="宋体" w:cs="宋体"/>
                <w:spacing w:val="-3"/>
                <w:sz w:val="24"/>
                <w:szCs w:val="24"/>
                <w:highlight w:val="none"/>
                <w:lang w:val="en-US" w:eastAsia="zh-CN"/>
              </w:rPr>
              <w:t>安全管理</w:t>
            </w:r>
            <w:r>
              <w:rPr>
                <w:rFonts w:hint="default" w:ascii="宋体" w:hAnsi="宋体" w:eastAsia="宋体" w:cs="宋体"/>
                <w:b w:val="0"/>
                <w:bCs w:val="0"/>
                <w:i w:val="0"/>
                <w:iCs w:val="0"/>
                <w:color w:val="000000"/>
                <w:kern w:val="2"/>
                <w:sz w:val="24"/>
                <w:szCs w:val="24"/>
                <w:highlight w:val="none"/>
                <w:vertAlign w:val="baseline"/>
                <w:lang w:val="en-US" w:eastAsia="zh-CN" w:bidi="ar-SA"/>
              </w:rPr>
              <w:t>方案情况，方案包含但不限于：</w:t>
            </w:r>
          </w:p>
          <w:p w14:paraId="6BB2AE6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①</w:t>
            </w:r>
            <w:r>
              <w:rPr>
                <w:rFonts w:hint="eastAsia" w:ascii="宋体" w:hAnsi="宋体" w:eastAsia="宋体" w:cs="宋体"/>
                <w:spacing w:val="-3"/>
                <w:sz w:val="24"/>
                <w:szCs w:val="24"/>
                <w:highlight w:val="none"/>
              </w:rPr>
              <w:t>数据安全管理</w:t>
            </w:r>
            <w:r>
              <w:rPr>
                <w:rFonts w:hint="default" w:ascii="宋体" w:hAnsi="宋体" w:eastAsia="宋体" w:cs="宋体"/>
                <w:b w:val="0"/>
                <w:bCs w:val="0"/>
                <w:i w:val="0"/>
                <w:iCs w:val="0"/>
                <w:color w:val="000000"/>
                <w:kern w:val="2"/>
                <w:sz w:val="24"/>
                <w:szCs w:val="24"/>
                <w:highlight w:val="none"/>
                <w:vertAlign w:val="baseline"/>
                <w:lang w:val="en-US" w:eastAsia="zh-CN" w:bidi="ar-SA"/>
              </w:rPr>
              <w:t>；</w:t>
            </w:r>
          </w:p>
          <w:p w14:paraId="19D3998F">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default" w:ascii="宋体" w:hAnsi="宋体" w:eastAsia="宋体" w:cs="宋体"/>
                <w:b w:val="0"/>
                <w:bCs w:val="0"/>
                <w:i w:val="0"/>
                <w:iCs w:val="0"/>
                <w:color w:val="000000"/>
                <w:kern w:val="2"/>
                <w:sz w:val="24"/>
                <w:szCs w:val="24"/>
                <w:highlight w:val="none"/>
                <w:vertAlign w:val="baseline"/>
                <w:lang w:val="en-US" w:eastAsia="zh-CN" w:bidi="ar-SA"/>
              </w:rPr>
            </w:pPr>
            <w:r>
              <w:rPr>
                <w:rFonts w:hint="eastAsia" w:ascii="宋体" w:hAnsi="宋体" w:eastAsia="宋体" w:cs="宋体"/>
                <w:b w:val="0"/>
                <w:bCs w:val="0"/>
                <w:i w:val="0"/>
                <w:iCs w:val="0"/>
                <w:color w:val="000000"/>
                <w:kern w:val="2"/>
                <w:sz w:val="24"/>
                <w:szCs w:val="24"/>
                <w:highlight w:val="none"/>
                <w:vertAlign w:val="baseline"/>
                <w:lang w:val="en-US" w:eastAsia="zh-CN" w:bidi="ar-SA"/>
              </w:rPr>
              <w:t>②</w:t>
            </w:r>
            <w:r>
              <w:rPr>
                <w:rFonts w:hint="eastAsia" w:ascii="宋体" w:hAnsi="宋体" w:eastAsia="宋体" w:cs="宋体"/>
                <w:spacing w:val="-3"/>
                <w:sz w:val="24"/>
                <w:szCs w:val="24"/>
                <w:highlight w:val="none"/>
              </w:rPr>
              <w:t>应用系统安全</w:t>
            </w:r>
            <w:r>
              <w:rPr>
                <w:rFonts w:hint="default" w:ascii="宋体" w:hAnsi="宋体" w:eastAsia="宋体" w:cs="宋体"/>
                <w:b w:val="0"/>
                <w:bCs w:val="0"/>
                <w:i w:val="0"/>
                <w:iCs w:val="0"/>
                <w:color w:val="000000"/>
                <w:kern w:val="2"/>
                <w:sz w:val="24"/>
                <w:szCs w:val="24"/>
                <w:highlight w:val="none"/>
                <w:vertAlign w:val="baseline"/>
                <w:lang w:val="en-US" w:eastAsia="zh-CN" w:bidi="ar-SA"/>
              </w:rPr>
              <w:t>；</w:t>
            </w:r>
          </w:p>
          <w:p w14:paraId="22884CA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b w:val="0"/>
                <w:bCs w:val="0"/>
                <w:i w:val="0"/>
                <w:iCs w:val="0"/>
                <w:color w:val="000000"/>
                <w:kern w:val="2"/>
                <w:sz w:val="24"/>
                <w:szCs w:val="24"/>
                <w:highlight w:val="none"/>
                <w:vertAlign w:val="baseline"/>
                <w:lang w:val="en-US" w:eastAsia="zh-CN" w:bidi="ar-SA"/>
              </w:rPr>
            </w:pPr>
            <w:r>
              <w:rPr>
                <w:rFonts w:hint="eastAsia" w:ascii="宋体" w:hAnsi="宋体" w:eastAsia="宋体" w:cs="宋体"/>
                <w:b w:val="0"/>
                <w:bCs w:val="0"/>
                <w:i w:val="0"/>
                <w:iCs w:val="0"/>
                <w:color w:val="000000"/>
                <w:kern w:val="2"/>
                <w:sz w:val="24"/>
                <w:szCs w:val="24"/>
                <w:highlight w:val="none"/>
                <w:vertAlign w:val="baseline"/>
                <w:lang w:val="en-US" w:eastAsia="zh-CN" w:bidi="ar-SA"/>
              </w:rPr>
              <w:t>③</w:t>
            </w:r>
            <w:r>
              <w:rPr>
                <w:rFonts w:hint="eastAsia" w:ascii="宋体" w:hAnsi="宋体" w:eastAsia="宋体" w:cs="宋体"/>
                <w:spacing w:val="-3"/>
                <w:sz w:val="24"/>
                <w:szCs w:val="24"/>
                <w:highlight w:val="none"/>
              </w:rPr>
              <w:t>运维与账号安全</w:t>
            </w:r>
            <w:r>
              <w:rPr>
                <w:rFonts w:hint="eastAsia" w:ascii="宋体" w:hAnsi="宋体" w:eastAsia="宋体" w:cs="宋体"/>
                <w:spacing w:val="-3"/>
                <w:sz w:val="24"/>
                <w:szCs w:val="24"/>
                <w:highlight w:val="none"/>
                <w:lang w:eastAsia="zh-CN"/>
              </w:rPr>
              <w:t>。</w:t>
            </w:r>
          </w:p>
          <w:p w14:paraId="64E9A1C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根据供应商提供的方案中针对上述内容的体现情况，由</w:t>
            </w: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小组进行综合评审：</w:t>
            </w:r>
          </w:p>
          <w:p w14:paraId="5DC9775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(1)对本项目特点和难点理解准确，方案优于本项目采购需求，完整详细，可行性、实用性、针对性强，得</w:t>
            </w:r>
            <w:r>
              <w:rPr>
                <w:rFonts w:hint="eastAsia" w:ascii="宋体" w:hAnsi="宋体" w:cs="宋体"/>
                <w:b w:val="0"/>
                <w:bCs w:val="0"/>
                <w:i w:val="0"/>
                <w:iCs w:val="0"/>
                <w:color w:val="000000"/>
                <w:kern w:val="2"/>
                <w:sz w:val="24"/>
                <w:szCs w:val="24"/>
                <w:highlight w:val="none"/>
                <w:vertAlign w:val="baseline"/>
                <w:lang w:val="en-US" w:eastAsia="zh-CN" w:bidi="ar-SA"/>
              </w:rPr>
              <w:t>8</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6FC4FC0F">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(2)对本项目特点和难点理解基本准确，方案适合本项目采购需求，完整详细，具有可行性、实用性和针对性，得</w:t>
            </w:r>
            <w:r>
              <w:rPr>
                <w:rFonts w:hint="eastAsia" w:ascii="宋体" w:hAnsi="宋体" w:cs="宋体"/>
                <w:b w:val="0"/>
                <w:bCs w:val="0"/>
                <w:i w:val="0"/>
                <w:iCs w:val="0"/>
                <w:color w:val="000000"/>
                <w:kern w:val="2"/>
                <w:sz w:val="24"/>
                <w:szCs w:val="24"/>
                <w:highlight w:val="none"/>
                <w:vertAlign w:val="baseline"/>
                <w:lang w:val="en-US" w:eastAsia="zh-CN" w:bidi="ar-SA"/>
              </w:rPr>
              <w:t>5</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731BC1F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(3)对本项目特点和难点理解有待提升，方案基本适合本项目采购需求，可行性、实用性、针对性有待改善，得</w:t>
            </w:r>
            <w:r>
              <w:rPr>
                <w:rFonts w:hint="eastAsia" w:ascii="宋体" w:hAnsi="宋体" w:cs="宋体"/>
                <w:b w:val="0"/>
                <w:bCs w:val="0"/>
                <w:i w:val="0"/>
                <w:iCs w:val="0"/>
                <w:color w:val="000000"/>
                <w:kern w:val="2"/>
                <w:sz w:val="24"/>
                <w:szCs w:val="24"/>
                <w:highlight w:val="none"/>
                <w:vertAlign w:val="baseline"/>
                <w:lang w:val="en-US" w:eastAsia="zh-CN" w:bidi="ar-SA"/>
              </w:rPr>
              <w:t>3</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657B1E60">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color w:val="000000"/>
                <w:kern w:val="2"/>
                <w:sz w:val="21"/>
                <w:lang w:val="en-US" w:eastAsia="zh-CN" w:bidi="ar-SA"/>
              </w:rPr>
            </w:pPr>
            <w:r>
              <w:rPr>
                <w:rFonts w:hint="default" w:ascii="宋体" w:hAnsi="宋体" w:eastAsia="宋体" w:cs="宋体"/>
                <w:b w:val="0"/>
                <w:bCs w:val="0"/>
                <w:i w:val="0"/>
                <w:iCs w:val="0"/>
                <w:color w:val="000000"/>
                <w:kern w:val="2"/>
                <w:sz w:val="24"/>
                <w:szCs w:val="24"/>
                <w:highlight w:val="none"/>
                <w:vertAlign w:val="baseline"/>
                <w:lang w:val="en-US" w:eastAsia="zh-CN" w:bidi="ar-SA"/>
              </w:rPr>
              <w:t>(4)方案不可行或者未提供得0分。</w:t>
            </w:r>
          </w:p>
        </w:tc>
        <w:tc>
          <w:tcPr>
            <w:tcW w:w="8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57B2663B">
            <w:pPr>
              <w:spacing w:line="360" w:lineRule="auto"/>
              <w:jc w:val="center"/>
              <w:rPr>
                <w:rFonts w:hint="eastAsia" w:ascii="Times New Roman" w:hAnsi="Times New Roman" w:eastAsia="宋体" w:cs="Times New Roman"/>
                <w:color w:val="000000"/>
                <w:kern w:val="2"/>
                <w:sz w:val="21"/>
                <w:lang w:val="en-US" w:eastAsia="zh-CN" w:bidi="ar-SA"/>
              </w:rPr>
            </w:pPr>
            <w:r>
              <w:rPr>
                <w:rFonts w:hint="default" w:ascii="宋体" w:hAnsi="宋体" w:eastAsia="宋体" w:cs="宋体"/>
                <w:b w:val="0"/>
                <w:bCs w:val="0"/>
                <w:i w:val="0"/>
                <w:iCs w:val="0"/>
                <w:color w:val="000000"/>
                <w:kern w:val="2"/>
                <w:sz w:val="24"/>
                <w:szCs w:val="24"/>
                <w:highlight w:val="none"/>
                <w:vertAlign w:val="baseline"/>
                <w:lang w:val="en-US" w:eastAsia="zh-CN" w:bidi="ar-SA"/>
              </w:rPr>
              <w:t>0-</w:t>
            </w:r>
            <w:r>
              <w:rPr>
                <w:rFonts w:hint="eastAsia" w:ascii="宋体" w:hAnsi="宋体" w:cs="宋体"/>
                <w:b w:val="0"/>
                <w:bCs w:val="0"/>
                <w:i w:val="0"/>
                <w:iCs w:val="0"/>
                <w:color w:val="000000"/>
                <w:kern w:val="2"/>
                <w:sz w:val="24"/>
                <w:szCs w:val="24"/>
                <w:highlight w:val="none"/>
                <w:vertAlign w:val="baseline"/>
                <w:lang w:val="en-US" w:eastAsia="zh-CN" w:bidi="ar-SA"/>
              </w:rPr>
              <w:t>8</w:t>
            </w:r>
          </w:p>
        </w:tc>
      </w:tr>
      <w:tr w14:paraId="505BC828">
        <w:tblPrEx>
          <w:tblCellMar>
            <w:top w:w="28" w:type="dxa"/>
            <w:left w:w="51" w:type="dxa"/>
            <w:bottom w:w="28" w:type="dxa"/>
            <w:right w:w="51" w:type="dxa"/>
          </w:tblCellMar>
        </w:tblPrEx>
        <w:trPr>
          <w:trHeight w:val="1809"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14:paraId="04FEA775">
            <w:pPr>
              <w:spacing w:line="360" w:lineRule="auto"/>
              <w:jc w:val="left"/>
              <w:rPr>
                <w:color w:val="000000"/>
              </w:rPr>
            </w:pPr>
          </w:p>
        </w:tc>
        <w:tc>
          <w:tcPr>
            <w:tcW w:w="1134"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25FAD393">
            <w:pPr>
              <w:spacing w:line="400" w:lineRule="exact"/>
              <w:jc w:val="center"/>
              <w:rPr>
                <w:rFonts w:hint="eastAsia" w:ascii="Times New Roman" w:hAnsi="Times New Roman" w:eastAsia="宋体" w:cs="Times New Roman"/>
                <w:color w:val="000000"/>
                <w:kern w:val="2"/>
                <w:sz w:val="21"/>
                <w:lang w:val="en-US" w:eastAsia="zh-CN" w:bidi="ar-SA"/>
              </w:rPr>
            </w:pPr>
            <w:r>
              <w:rPr>
                <w:rFonts w:hint="eastAsia" w:ascii="宋体" w:hAnsi="宋体" w:eastAsia="宋体" w:cs="宋体"/>
                <w:spacing w:val="-3"/>
                <w:sz w:val="24"/>
                <w:szCs w:val="24"/>
                <w:highlight w:val="none"/>
                <w:lang w:val="en-US" w:eastAsia="zh-CN"/>
              </w:rPr>
              <w:t>平台对接</w:t>
            </w:r>
            <w:r>
              <w:rPr>
                <w:rFonts w:hint="eastAsia" w:ascii="宋体" w:hAnsi="宋体" w:eastAsia="宋体" w:cs="宋体"/>
                <w:spacing w:val="-3"/>
                <w:sz w:val="24"/>
                <w:szCs w:val="24"/>
                <w:highlight w:val="none"/>
              </w:rPr>
              <w:t>方案</w:t>
            </w:r>
          </w:p>
        </w:tc>
        <w:tc>
          <w:tcPr>
            <w:tcW w:w="64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0C721CE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小组根据采购文件要求及供应商提供的</w:t>
            </w:r>
            <w:r>
              <w:rPr>
                <w:rFonts w:hint="eastAsia" w:ascii="宋体" w:hAnsi="宋体" w:eastAsia="宋体" w:cs="宋体"/>
                <w:spacing w:val="-3"/>
                <w:sz w:val="24"/>
                <w:szCs w:val="24"/>
                <w:highlight w:val="none"/>
                <w:lang w:val="en-US" w:eastAsia="zh-CN"/>
              </w:rPr>
              <w:t>平台对接</w:t>
            </w:r>
            <w:r>
              <w:rPr>
                <w:rFonts w:hint="eastAsia" w:ascii="宋体" w:hAnsi="宋体" w:eastAsia="宋体" w:cs="宋体"/>
                <w:spacing w:val="-3"/>
                <w:sz w:val="24"/>
                <w:szCs w:val="24"/>
                <w:highlight w:val="none"/>
              </w:rPr>
              <w:t>方案</w:t>
            </w:r>
            <w:r>
              <w:rPr>
                <w:rFonts w:hint="default" w:ascii="宋体" w:hAnsi="宋体" w:eastAsia="宋体" w:cs="宋体"/>
                <w:b w:val="0"/>
                <w:bCs w:val="0"/>
                <w:i w:val="0"/>
                <w:iCs w:val="0"/>
                <w:color w:val="000000"/>
                <w:kern w:val="2"/>
                <w:sz w:val="24"/>
                <w:szCs w:val="24"/>
                <w:highlight w:val="none"/>
                <w:vertAlign w:val="baseline"/>
                <w:lang w:val="en-US" w:eastAsia="zh-CN" w:bidi="ar-SA"/>
              </w:rPr>
              <w:t>情况，方案包含但不限于：</w:t>
            </w:r>
          </w:p>
          <w:p w14:paraId="20FA36A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zh-CN" w:eastAsia="zh-CN" w:bidi="ar-SA"/>
              </w:rPr>
              <w:t>①</w:t>
            </w:r>
            <w:r>
              <w:rPr>
                <w:rFonts w:hint="eastAsia" w:ascii="宋体" w:hAnsi="宋体" w:eastAsia="宋体" w:cs="宋体"/>
                <w:spacing w:val="-3"/>
                <w:sz w:val="24"/>
                <w:szCs w:val="24"/>
                <w:highlight w:val="none"/>
              </w:rPr>
              <w:t>整体对接</w:t>
            </w:r>
            <w:r>
              <w:rPr>
                <w:rFonts w:hint="eastAsia" w:ascii="宋体" w:hAnsi="宋体" w:eastAsia="宋体" w:cs="宋体"/>
                <w:spacing w:val="-3"/>
                <w:sz w:val="24"/>
                <w:szCs w:val="24"/>
                <w:highlight w:val="none"/>
                <w:lang w:val="en-US" w:eastAsia="zh-CN"/>
              </w:rPr>
              <w:t>方案</w:t>
            </w:r>
            <w:r>
              <w:rPr>
                <w:rFonts w:hint="default" w:ascii="宋体" w:hAnsi="宋体" w:eastAsia="宋体" w:cs="宋体"/>
                <w:b w:val="0"/>
                <w:bCs w:val="0"/>
                <w:i w:val="0"/>
                <w:iCs w:val="0"/>
                <w:color w:val="000000"/>
                <w:kern w:val="2"/>
                <w:sz w:val="24"/>
                <w:szCs w:val="24"/>
                <w:highlight w:val="none"/>
                <w:vertAlign w:val="baseline"/>
                <w:lang w:val="zh-CN" w:eastAsia="zh-CN" w:bidi="ar-SA"/>
              </w:rPr>
              <w:t>；</w:t>
            </w:r>
          </w:p>
          <w:p w14:paraId="647FD65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zh-CN" w:eastAsia="zh-CN" w:bidi="ar-SA"/>
              </w:rPr>
              <w:t>②</w:t>
            </w:r>
            <w:r>
              <w:rPr>
                <w:rFonts w:hint="eastAsia" w:ascii="宋体" w:hAnsi="宋体" w:eastAsia="宋体" w:cs="宋体"/>
                <w:spacing w:val="-3"/>
                <w:sz w:val="24"/>
                <w:szCs w:val="24"/>
                <w:highlight w:val="none"/>
              </w:rPr>
              <w:t>数据交互与同步</w:t>
            </w:r>
            <w:r>
              <w:rPr>
                <w:rFonts w:hint="default" w:ascii="宋体" w:hAnsi="宋体" w:eastAsia="宋体" w:cs="宋体"/>
                <w:b w:val="0"/>
                <w:bCs w:val="0"/>
                <w:i w:val="0"/>
                <w:iCs w:val="0"/>
                <w:color w:val="000000"/>
                <w:kern w:val="2"/>
                <w:sz w:val="24"/>
                <w:szCs w:val="24"/>
                <w:highlight w:val="none"/>
                <w:vertAlign w:val="baseline"/>
                <w:lang w:val="zh-CN" w:eastAsia="zh-CN" w:bidi="ar-SA"/>
              </w:rPr>
              <w:t>；</w:t>
            </w:r>
          </w:p>
          <w:p w14:paraId="293A986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zh-CN" w:eastAsia="zh-CN" w:bidi="ar-SA"/>
              </w:rPr>
              <w:t>③</w:t>
            </w:r>
            <w:r>
              <w:rPr>
                <w:rFonts w:hint="eastAsia" w:ascii="宋体" w:hAnsi="宋体" w:eastAsia="宋体" w:cs="宋体"/>
                <w:spacing w:val="-3"/>
                <w:sz w:val="24"/>
                <w:szCs w:val="24"/>
                <w:highlight w:val="none"/>
              </w:rPr>
              <w:t>对接安全与异常保障</w:t>
            </w:r>
            <w:r>
              <w:rPr>
                <w:rFonts w:hint="default" w:ascii="Times New Roman" w:hAnsi="Times New Roman" w:eastAsia="宋体" w:cs="Times New Roman"/>
                <w:b w:val="0"/>
                <w:bCs w:val="0"/>
                <w:i w:val="0"/>
                <w:iCs w:val="0"/>
                <w:color w:val="000000"/>
                <w:kern w:val="2"/>
                <w:sz w:val="24"/>
                <w:szCs w:val="24"/>
                <w:highlight w:val="none"/>
                <w:vertAlign w:val="baseline"/>
                <w:lang w:val="en-US" w:eastAsia="zh-CN" w:bidi="ar-SA"/>
              </w:rPr>
              <w:t>。</w:t>
            </w:r>
          </w:p>
          <w:p w14:paraId="2574CCC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根据供应商提供的方案中针对上述内容的体现情况，由</w:t>
            </w: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小组进行综合评审：</w:t>
            </w:r>
          </w:p>
          <w:p w14:paraId="6E3F263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(1)对本项目特点和难点理解准确，方案优于本项目采购需求，完整详细，可行性、实用性、针对性强，得</w:t>
            </w:r>
            <w:r>
              <w:rPr>
                <w:rFonts w:hint="eastAsia" w:ascii="宋体" w:hAnsi="宋体" w:cs="宋体"/>
                <w:b w:val="0"/>
                <w:bCs w:val="0"/>
                <w:i w:val="0"/>
                <w:iCs w:val="0"/>
                <w:color w:val="000000"/>
                <w:kern w:val="2"/>
                <w:sz w:val="24"/>
                <w:szCs w:val="24"/>
                <w:highlight w:val="none"/>
                <w:vertAlign w:val="baseline"/>
                <w:lang w:val="en-US" w:eastAsia="zh-CN" w:bidi="ar-SA"/>
              </w:rPr>
              <w:t>8</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41357281">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(2)对本项目特点和难点理解基本准确，方案适合本项目采购需求，完整详细，具有可行性、实用性和针对性，得</w:t>
            </w:r>
            <w:r>
              <w:rPr>
                <w:rFonts w:hint="eastAsia" w:ascii="宋体" w:hAnsi="宋体" w:cs="宋体"/>
                <w:b w:val="0"/>
                <w:bCs w:val="0"/>
                <w:i w:val="0"/>
                <w:iCs w:val="0"/>
                <w:color w:val="000000"/>
                <w:kern w:val="2"/>
                <w:sz w:val="24"/>
                <w:szCs w:val="24"/>
                <w:highlight w:val="none"/>
                <w:vertAlign w:val="baseline"/>
                <w:lang w:val="en-US" w:eastAsia="zh-CN" w:bidi="ar-SA"/>
              </w:rPr>
              <w:t>5</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10512A7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(3)对本项目特点和难点理解有待提升，方案基本适合本项目采购需求，可行性、实用性、针对性有待改善，得</w:t>
            </w:r>
            <w:r>
              <w:rPr>
                <w:rFonts w:hint="eastAsia" w:ascii="宋体" w:hAnsi="宋体" w:cs="宋体"/>
                <w:b w:val="0"/>
                <w:bCs w:val="0"/>
                <w:i w:val="0"/>
                <w:iCs w:val="0"/>
                <w:color w:val="000000"/>
                <w:kern w:val="2"/>
                <w:sz w:val="24"/>
                <w:szCs w:val="24"/>
                <w:highlight w:val="none"/>
                <w:vertAlign w:val="baseline"/>
                <w:lang w:val="en-US" w:eastAsia="zh-CN" w:bidi="ar-SA"/>
              </w:rPr>
              <w:t>3</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1B62B077">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color w:val="000000"/>
                <w:kern w:val="2"/>
                <w:sz w:val="21"/>
                <w:lang w:val="en-US" w:eastAsia="zh-CN" w:bidi="ar-SA"/>
              </w:rPr>
            </w:pPr>
            <w:r>
              <w:rPr>
                <w:rFonts w:hint="default" w:ascii="宋体" w:hAnsi="宋体" w:eastAsia="宋体" w:cs="宋体"/>
                <w:b w:val="0"/>
                <w:bCs w:val="0"/>
                <w:i w:val="0"/>
                <w:iCs w:val="0"/>
                <w:color w:val="000000"/>
                <w:kern w:val="2"/>
                <w:sz w:val="24"/>
                <w:szCs w:val="24"/>
                <w:highlight w:val="none"/>
                <w:vertAlign w:val="baseline"/>
                <w:lang w:val="en-US" w:eastAsia="zh-CN" w:bidi="ar-SA"/>
              </w:rPr>
              <w:t>(4)方案不可行或者未提供得0分。</w:t>
            </w:r>
          </w:p>
        </w:tc>
        <w:tc>
          <w:tcPr>
            <w:tcW w:w="8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577569EE">
            <w:pPr>
              <w:spacing w:line="360" w:lineRule="auto"/>
              <w:jc w:val="center"/>
              <w:rPr>
                <w:rFonts w:hint="eastAsia" w:ascii="Times New Roman" w:hAnsi="Times New Roman" w:eastAsia="宋体" w:cs="Times New Roman"/>
                <w:color w:val="000000"/>
                <w:kern w:val="2"/>
                <w:sz w:val="21"/>
                <w:lang w:val="en-US" w:eastAsia="zh-CN" w:bidi="ar-SA"/>
              </w:rPr>
            </w:pPr>
            <w:r>
              <w:rPr>
                <w:rFonts w:hint="default" w:ascii="宋体" w:hAnsi="宋体" w:eastAsia="宋体" w:cs="宋体"/>
                <w:b w:val="0"/>
                <w:bCs w:val="0"/>
                <w:i w:val="0"/>
                <w:iCs w:val="0"/>
                <w:color w:val="000000"/>
                <w:kern w:val="2"/>
                <w:sz w:val="24"/>
                <w:szCs w:val="24"/>
                <w:highlight w:val="none"/>
                <w:vertAlign w:val="baseline"/>
                <w:lang w:val="en-US" w:eastAsia="zh-CN" w:bidi="ar-SA"/>
              </w:rPr>
              <w:t>0-</w:t>
            </w:r>
            <w:r>
              <w:rPr>
                <w:rFonts w:hint="eastAsia" w:ascii="宋体" w:hAnsi="宋体" w:cs="宋体"/>
                <w:b w:val="0"/>
                <w:bCs w:val="0"/>
                <w:i w:val="0"/>
                <w:iCs w:val="0"/>
                <w:color w:val="000000"/>
                <w:kern w:val="2"/>
                <w:sz w:val="24"/>
                <w:szCs w:val="24"/>
                <w:highlight w:val="none"/>
                <w:vertAlign w:val="baseline"/>
                <w:lang w:val="en-US" w:eastAsia="zh-CN" w:bidi="ar-SA"/>
              </w:rPr>
              <w:t>8</w:t>
            </w:r>
          </w:p>
        </w:tc>
      </w:tr>
      <w:tr w14:paraId="20AFD612">
        <w:tblPrEx>
          <w:tblCellMar>
            <w:top w:w="28" w:type="dxa"/>
            <w:left w:w="51" w:type="dxa"/>
            <w:bottom w:w="28" w:type="dxa"/>
            <w:right w:w="51" w:type="dxa"/>
          </w:tblCellMar>
        </w:tblPrEx>
        <w:trPr>
          <w:trHeight w:val="1809"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0"/>
            <w:vAlign w:val="center"/>
          </w:tcPr>
          <w:p w14:paraId="7F894595">
            <w:pPr>
              <w:spacing w:line="360" w:lineRule="auto"/>
              <w:jc w:val="left"/>
              <w:rPr>
                <w:color w:val="000000"/>
              </w:rPr>
            </w:pPr>
          </w:p>
        </w:tc>
        <w:tc>
          <w:tcPr>
            <w:tcW w:w="1134"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782DAC2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color w:val="000000"/>
              </w:rPr>
            </w:pPr>
            <w:r>
              <w:rPr>
                <w:rFonts w:hint="eastAsia" w:ascii="Times New Roman" w:hAnsi="Times New Roman" w:eastAsia="宋体" w:cs="Times New Roman"/>
                <w:b w:val="0"/>
                <w:bCs w:val="0"/>
                <w:i w:val="0"/>
                <w:iCs w:val="0"/>
                <w:color w:val="000000"/>
                <w:kern w:val="2"/>
                <w:sz w:val="24"/>
                <w:szCs w:val="24"/>
                <w:highlight w:val="none"/>
                <w:vertAlign w:val="baseline"/>
                <w:lang w:val="en-US" w:eastAsia="zh-CN" w:bidi="ar-SA"/>
              </w:rPr>
              <w:t>售后服务方案</w:t>
            </w:r>
          </w:p>
        </w:tc>
        <w:tc>
          <w:tcPr>
            <w:tcW w:w="64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3F1080F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小组根据采购文件要求及供应商提供的</w:t>
            </w:r>
            <w:r>
              <w:rPr>
                <w:rFonts w:hint="default" w:ascii="Times New Roman" w:hAnsi="Times New Roman" w:eastAsia="宋体" w:cs="Times New Roman"/>
                <w:b w:val="0"/>
                <w:bCs w:val="0"/>
                <w:i w:val="0"/>
                <w:iCs w:val="0"/>
                <w:color w:val="000000"/>
                <w:kern w:val="2"/>
                <w:sz w:val="24"/>
                <w:szCs w:val="24"/>
                <w:highlight w:val="none"/>
                <w:vertAlign w:val="baseline"/>
                <w:lang w:val="en-US" w:eastAsia="zh-CN" w:bidi="ar-SA"/>
              </w:rPr>
              <w:t>信息安全方案</w:t>
            </w:r>
            <w:r>
              <w:rPr>
                <w:rFonts w:hint="default" w:ascii="宋体" w:hAnsi="宋体" w:eastAsia="宋体" w:cs="宋体"/>
                <w:b w:val="0"/>
                <w:bCs w:val="0"/>
                <w:i w:val="0"/>
                <w:iCs w:val="0"/>
                <w:color w:val="000000"/>
                <w:kern w:val="2"/>
                <w:sz w:val="24"/>
                <w:szCs w:val="24"/>
                <w:highlight w:val="none"/>
                <w:vertAlign w:val="baseline"/>
                <w:lang w:val="en-US" w:eastAsia="zh-CN" w:bidi="ar-SA"/>
              </w:rPr>
              <w:t>情况，方案包含但不限于：</w:t>
            </w:r>
          </w:p>
          <w:p w14:paraId="0DF4B75D">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zh-CN" w:eastAsia="zh-CN" w:bidi="ar-SA"/>
              </w:rPr>
              <w:t>①</w:t>
            </w:r>
            <w:r>
              <w:rPr>
                <w:rFonts w:hint="eastAsia" w:ascii="宋体" w:hAnsi="宋体" w:eastAsia="宋体" w:cs="宋体"/>
                <w:spacing w:val="-1"/>
                <w:sz w:val="24"/>
                <w:szCs w:val="24"/>
                <w:highlight w:val="none"/>
              </w:rPr>
              <w:t>培训服务</w:t>
            </w:r>
            <w:r>
              <w:rPr>
                <w:rFonts w:hint="default" w:ascii="宋体" w:hAnsi="宋体" w:eastAsia="宋体" w:cs="宋体"/>
                <w:b w:val="0"/>
                <w:bCs w:val="0"/>
                <w:i w:val="0"/>
                <w:iCs w:val="0"/>
                <w:color w:val="000000"/>
                <w:kern w:val="2"/>
                <w:sz w:val="24"/>
                <w:szCs w:val="24"/>
                <w:highlight w:val="none"/>
                <w:vertAlign w:val="baseline"/>
                <w:lang w:val="zh-CN" w:eastAsia="zh-CN" w:bidi="ar-SA"/>
              </w:rPr>
              <w:t>；</w:t>
            </w:r>
          </w:p>
          <w:p w14:paraId="74EEB8E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zh-CN" w:eastAsia="zh-CN" w:bidi="ar-SA"/>
              </w:rPr>
              <w:t>②</w:t>
            </w:r>
            <w:r>
              <w:rPr>
                <w:rFonts w:hint="eastAsia" w:ascii="宋体" w:hAnsi="宋体" w:eastAsia="宋体" w:cs="宋体"/>
                <w:spacing w:val="-1"/>
                <w:sz w:val="24"/>
                <w:szCs w:val="24"/>
                <w:highlight w:val="none"/>
              </w:rPr>
              <w:t>售</w:t>
            </w:r>
            <w:r>
              <w:rPr>
                <w:rFonts w:hint="eastAsia" w:ascii="宋体" w:hAnsi="宋体" w:eastAsia="宋体" w:cs="宋体"/>
                <w:spacing w:val="-3"/>
                <w:sz w:val="24"/>
                <w:szCs w:val="24"/>
                <w:highlight w:val="none"/>
              </w:rPr>
              <w:t>后人员安排</w:t>
            </w:r>
            <w:r>
              <w:rPr>
                <w:rFonts w:hint="default" w:ascii="宋体" w:hAnsi="宋体" w:eastAsia="宋体" w:cs="宋体"/>
                <w:b w:val="0"/>
                <w:bCs w:val="0"/>
                <w:i w:val="0"/>
                <w:iCs w:val="0"/>
                <w:color w:val="000000"/>
                <w:kern w:val="2"/>
                <w:sz w:val="24"/>
                <w:szCs w:val="24"/>
                <w:highlight w:val="none"/>
                <w:vertAlign w:val="baseline"/>
                <w:lang w:val="zh-CN" w:eastAsia="zh-CN" w:bidi="ar-SA"/>
              </w:rPr>
              <w:t>；</w:t>
            </w:r>
          </w:p>
          <w:p w14:paraId="79335CC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zh-CN" w:eastAsia="zh-CN" w:bidi="ar-SA"/>
              </w:rPr>
              <w:t>③</w:t>
            </w:r>
            <w:r>
              <w:rPr>
                <w:rFonts w:hint="eastAsia" w:ascii="宋体" w:hAnsi="宋体" w:eastAsia="宋体" w:cs="宋体"/>
                <w:spacing w:val="-3"/>
                <w:sz w:val="24"/>
                <w:szCs w:val="24"/>
                <w:highlight w:val="none"/>
              </w:rPr>
              <w:t>售后服务流程</w:t>
            </w:r>
            <w:r>
              <w:rPr>
                <w:rFonts w:hint="default" w:ascii="宋体" w:hAnsi="宋体" w:eastAsia="宋体" w:cs="宋体"/>
                <w:b w:val="0"/>
                <w:bCs w:val="0"/>
                <w:i w:val="0"/>
                <w:iCs w:val="0"/>
                <w:color w:val="000000"/>
                <w:kern w:val="2"/>
                <w:sz w:val="24"/>
                <w:szCs w:val="24"/>
                <w:highlight w:val="none"/>
                <w:vertAlign w:val="baseline"/>
                <w:lang w:val="zh-CN" w:eastAsia="zh-CN" w:bidi="ar-SA"/>
              </w:rPr>
              <w:t>；</w:t>
            </w:r>
          </w:p>
          <w:p w14:paraId="1743BC4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④</w:t>
            </w:r>
            <w:r>
              <w:rPr>
                <w:rFonts w:hint="eastAsia" w:ascii="宋体" w:hAnsi="宋体" w:eastAsia="宋体" w:cs="宋体"/>
                <w:spacing w:val="-3"/>
                <w:sz w:val="24"/>
                <w:szCs w:val="24"/>
                <w:highlight w:val="none"/>
              </w:rPr>
              <w:t>响应保障措施</w:t>
            </w:r>
            <w:r>
              <w:rPr>
                <w:rFonts w:hint="default" w:ascii="Times New Roman" w:hAnsi="Times New Roman" w:eastAsia="宋体" w:cs="Times New Roman"/>
                <w:b w:val="0"/>
                <w:bCs w:val="0"/>
                <w:i w:val="0"/>
                <w:iCs w:val="0"/>
                <w:color w:val="000000"/>
                <w:kern w:val="2"/>
                <w:sz w:val="24"/>
                <w:szCs w:val="24"/>
                <w:highlight w:val="none"/>
                <w:vertAlign w:val="baseline"/>
                <w:lang w:val="en-US" w:eastAsia="zh-CN" w:bidi="ar-SA"/>
              </w:rPr>
              <w:t>。</w:t>
            </w:r>
          </w:p>
          <w:p w14:paraId="6016E323">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根据供应商提供的方案中针对上述内容的体现情况，由</w:t>
            </w:r>
            <w:r>
              <w:rPr>
                <w:rFonts w:hint="eastAsia" w:ascii="宋体" w:hAnsi="宋体" w:cs="宋体"/>
                <w:b w:val="0"/>
                <w:bCs w:val="0"/>
                <w:i w:val="0"/>
                <w:iCs w:val="0"/>
                <w:color w:val="000000"/>
                <w:kern w:val="2"/>
                <w:sz w:val="24"/>
                <w:szCs w:val="24"/>
                <w:highlight w:val="none"/>
                <w:vertAlign w:val="baseline"/>
                <w:lang w:val="en-US" w:eastAsia="zh-CN" w:bidi="ar-SA"/>
              </w:rPr>
              <w:t>评审</w:t>
            </w:r>
            <w:r>
              <w:rPr>
                <w:rFonts w:hint="default" w:ascii="宋体" w:hAnsi="宋体" w:eastAsia="宋体" w:cs="宋体"/>
                <w:b w:val="0"/>
                <w:bCs w:val="0"/>
                <w:i w:val="0"/>
                <w:iCs w:val="0"/>
                <w:color w:val="000000"/>
                <w:kern w:val="2"/>
                <w:sz w:val="24"/>
                <w:szCs w:val="24"/>
                <w:highlight w:val="none"/>
                <w:vertAlign w:val="baseline"/>
                <w:lang w:val="en-US" w:eastAsia="zh-CN" w:bidi="ar-SA"/>
              </w:rPr>
              <w:t>小组进行综合评审：</w:t>
            </w:r>
          </w:p>
          <w:p w14:paraId="03687A41">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(1)对本项目特点和难点理解准确，方案优于本项目采购需求，完整详细，可行性、实用性、针对性强，得</w:t>
            </w:r>
            <w:r>
              <w:rPr>
                <w:rFonts w:hint="eastAsia" w:ascii="宋体" w:hAnsi="宋体" w:cs="宋体"/>
                <w:b w:val="0"/>
                <w:bCs w:val="0"/>
                <w:i w:val="0"/>
                <w:iCs w:val="0"/>
                <w:color w:val="000000"/>
                <w:kern w:val="2"/>
                <w:sz w:val="24"/>
                <w:szCs w:val="24"/>
                <w:highlight w:val="none"/>
                <w:vertAlign w:val="baseline"/>
                <w:lang w:val="en-US" w:eastAsia="zh-CN" w:bidi="ar-SA"/>
              </w:rPr>
              <w:t>8</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3F0D369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(2)对本项目特点和难点理解基本准确，方案适合本项目采购需求，完整详细，具有可行性、实用性和针对性，得</w:t>
            </w:r>
            <w:r>
              <w:rPr>
                <w:rFonts w:hint="eastAsia" w:ascii="宋体" w:hAnsi="宋体" w:cs="宋体"/>
                <w:b w:val="0"/>
                <w:bCs w:val="0"/>
                <w:i w:val="0"/>
                <w:iCs w:val="0"/>
                <w:color w:val="000000"/>
                <w:kern w:val="2"/>
                <w:sz w:val="24"/>
                <w:szCs w:val="24"/>
                <w:highlight w:val="none"/>
                <w:vertAlign w:val="baseline"/>
                <w:lang w:val="en-US" w:eastAsia="zh-CN" w:bidi="ar-SA"/>
              </w:rPr>
              <w:t>5</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55CCA27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(3)对本项目特点和难点理解有待提升，方案基本适合本项目采购需求，可行性、实用性、针对性有待改善，得</w:t>
            </w:r>
            <w:r>
              <w:rPr>
                <w:rFonts w:hint="eastAsia" w:ascii="宋体" w:hAnsi="宋体" w:cs="宋体"/>
                <w:b w:val="0"/>
                <w:bCs w:val="0"/>
                <w:i w:val="0"/>
                <w:iCs w:val="0"/>
                <w:color w:val="000000"/>
                <w:kern w:val="2"/>
                <w:sz w:val="24"/>
                <w:szCs w:val="24"/>
                <w:highlight w:val="none"/>
                <w:vertAlign w:val="baseline"/>
                <w:lang w:val="en-US" w:eastAsia="zh-CN" w:bidi="ar-SA"/>
              </w:rPr>
              <w:t>3</w:t>
            </w:r>
            <w:r>
              <w:rPr>
                <w:rFonts w:hint="default" w:ascii="宋体" w:hAnsi="宋体" w:eastAsia="宋体" w:cs="宋体"/>
                <w:b w:val="0"/>
                <w:bCs w:val="0"/>
                <w:i w:val="0"/>
                <w:iCs w:val="0"/>
                <w:color w:val="000000"/>
                <w:kern w:val="2"/>
                <w:sz w:val="24"/>
                <w:szCs w:val="24"/>
                <w:highlight w:val="none"/>
                <w:vertAlign w:val="baseline"/>
                <w:lang w:val="en-US" w:eastAsia="zh-CN" w:bidi="ar-SA"/>
              </w:rPr>
              <w:t>分；</w:t>
            </w:r>
          </w:p>
          <w:p w14:paraId="5D0E3F93">
            <w:pPr>
              <w:keepNext w:val="0"/>
              <w:keepLines w:val="0"/>
              <w:pageBreakBefore w:val="0"/>
              <w:widowControl/>
              <w:kinsoku/>
              <w:wordWrap/>
              <w:overflowPunct/>
              <w:topLinePunct w:val="0"/>
              <w:autoSpaceDE/>
              <w:autoSpaceDN/>
              <w:bidi w:val="0"/>
              <w:spacing w:line="360" w:lineRule="auto"/>
              <w:ind w:firstLine="480" w:firstLineChars="200"/>
              <w:jc w:val="left"/>
              <w:textAlignment w:val="auto"/>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(4)方案不可行或者未提供得0分。</w:t>
            </w:r>
          </w:p>
        </w:tc>
        <w:tc>
          <w:tcPr>
            <w:tcW w:w="86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262879C3">
            <w:pPr>
              <w:spacing w:line="360" w:lineRule="auto"/>
              <w:jc w:val="center"/>
              <w:rPr>
                <w:rFonts w:hint="default"/>
                <w:color w:val="000000"/>
                <w:lang w:val="en-US"/>
              </w:rPr>
            </w:pPr>
            <w:r>
              <w:rPr>
                <w:rFonts w:hint="default" w:ascii="宋体" w:hAnsi="宋体" w:eastAsia="宋体" w:cs="宋体"/>
                <w:b w:val="0"/>
                <w:bCs w:val="0"/>
                <w:i w:val="0"/>
                <w:iCs w:val="0"/>
                <w:color w:val="000000"/>
                <w:kern w:val="2"/>
                <w:sz w:val="24"/>
                <w:szCs w:val="24"/>
                <w:highlight w:val="none"/>
                <w:vertAlign w:val="baseline"/>
                <w:lang w:val="en-US" w:eastAsia="zh-CN" w:bidi="ar-SA"/>
              </w:rPr>
              <w:t>0-</w:t>
            </w:r>
            <w:r>
              <w:rPr>
                <w:rFonts w:hint="eastAsia" w:ascii="宋体" w:hAnsi="宋体" w:eastAsia="宋体" w:cs="宋体"/>
                <w:b w:val="0"/>
                <w:bCs w:val="0"/>
                <w:i w:val="0"/>
                <w:iCs w:val="0"/>
                <w:color w:val="000000"/>
                <w:kern w:val="2"/>
                <w:sz w:val="24"/>
                <w:szCs w:val="24"/>
                <w:highlight w:val="none"/>
                <w:vertAlign w:val="baseline"/>
                <w:lang w:val="en-US" w:eastAsia="zh-CN" w:bidi="ar-SA"/>
              </w:rPr>
              <w:t>8</w:t>
            </w:r>
          </w:p>
        </w:tc>
      </w:tr>
      <w:tr w14:paraId="5648EEAB">
        <w:tblPrEx>
          <w:tblCellMar>
            <w:top w:w="28" w:type="dxa"/>
            <w:left w:w="51" w:type="dxa"/>
            <w:bottom w:w="28" w:type="dxa"/>
            <w:right w:w="51" w:type="dxa"/>
          </w:tblCellMar>
        </w:tblPrEx>
        <w:trPr>
          <w:trHeight w:val="555" w:hRule="atLeast"/>
          <w:jc w:val="center"/>
        </w:trPr>
        <w:tc>
          <w:tcPr>
            <w:tcW w:w="1031" w:type="dxa"/>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6DAD87A2">
            <w:pPr>
              <w:spacing w:line="360" w:lineRule="auto"/>
              <w:jc w:val="center"/>
              <w:rPr>
                <w:color w:val="000000"/>
              </w:rPr>
            </w:pPr>
            <w:r>
              <w:rPr>
                <w:rFonts w:hint="default" w:ascii="宋体" w:hAnsi="宋体" w:eastAsia="宋体" w:cs="宋体"/>
                <w:b/>
                <w:bCs/>
                <w:i w:val="0"/>
                <w:iCs w:val="0"/>
                <w:color w:val="000000"/>
                <w:kern w:val="2"/>
                <w:sz w:val="24"/>
                <w:szCs w:val="24"/>
                <w:highlight w:val="none"/>
                <w:vertAlign w:val="baseline"/>
                <w:lang w:val="en-US" w:eastAsia="zh-CN" w:bidi="ar-SA"/>
              </w:rPr>
              <w:t>价格分</w:t>
            </w:r>
          </w:p>
          <w:p w14:paraId="525B9CBD">
            <w:pPr>
              <w:spacing w:line="360" w:lineRule="auto"/>
              <w:jc w:val="left"/>
              <w:rPr>
                <w:color w:val="000000"/>
              </w:rPr>
            </w:pPr>
            <w:r>
              <w:rPr>
                <w:rFonts w:hint="default" w:ascii="宋体" w:hAnsi="宋体" w:eastAsia="宋体" w:cs="宋体"/>
                <w:b/>
                <w:bCs/>
                <w:i w:val="0"/>
                <w:iCs w:val="0"/>
                <w:color w:val="000000"/>
                <w:kern w:val="2"/>
                <w:sz w:val="24"/>
                <w:szCs w:val="24"/>
                <w:highlight w:val="none"/>
                <w:vertAlign w:val="baseline"/>
                <w:lang w:val="en-US" w:eastAsia="zh-CN" w:bidi="ar-SA"/>
              </w:rPr>
              <w:t>（</w:t>
            </w:r>
            <w:r>
              <w:rPr>
                <w:rFonts w:hint="default" w:ascii="宋体" w:hAnsi="宋体" w:eastAsia="宋体" w:cs="宋体"/>
                <w:b/>
                <w:bCs/>
                <w:i w:val="0"/>
                <w:iCs w:val="0"/>
                <w:color w:val="000000"/>
                <w:kern w:val="2"/>
                <w:sz w:val="24"/>
                <w:szCs w:val="24"/>
                <w:highlight w:val="none"/>
                <w:u w:val="single" w:color="auto"/>
                <w:vertAlign w:val="baseline"/>
                <w:lang w:val="en-US" w:eastAsia="zh-CN" w:bidi="ar-SA"/>
              </w:rPr>
              <w:t>1</w:t>
            </w:r>
            <w:r>
              <w:rPr>
                <w:rFonts w:hint="eastAsia" w:ascii="宋体" w:hAnsi="宋体" w:eastAsia="宋体" w:cs="宋体"/>
                <w:b/>
                <w:bCs/>
                <w:i w:val="0"/>
                <w:iCs w:val="0"/>
                <w:color w:val="000000"/>
                <w:kern w:val="2"/>
                <w:sz w:val="24"/>
                <w:szCs w:val="24"/>
                <w:highlight w:val="none"/>
                <w:u w:val="single" w:color="auto"/>
                <w:vertAlign w:val="baseline"/>
                <w:lang w:val="en-US" w:eastAsia="zh-CN" w:bidi="ar-SA"/>
              </w:rPr>
              <w:t>0</w:t>
            </w:r>
            <w:r>
              <w:rPr>
                <w:rFonts w:hint="default" w:ascii="宋体" w:hAnsi="宋体" w:eastAsia="宋体" w:cs="宋体"/>
                <w:b/>
                <w:bCs/>
                <w:i w:val="0"/>
                <w:iCs w:val="0"/>
                <w:color w:val="000000"/>
                <w:kern w:val="2"/>
                <w:sz w:val="24"/>
                <w:szCs w:val="24"/>
                <w:highlight w:val="none"/>
                <w:vertAlign w:val="baseline"/>
                <w:lang w:val="en-US" w:eastAsia="zh-CN" w:bidi="ar-SA"/>
              </w:rPr>
              <w:t>分）</w:t>
            </w:r>
          </w:p>
        </w:tc>
        <w:tc>
          <w:tcPr>
            <w:tcW w:w="8456" w:type="dxa"/>
            <w:gridSpan w:val="3"/>
            <w:tcBorders>
              <w:top w:val="single" w:color="auto" w:sz="4" w:space="0"/>
              <w:left w:val="single" w:color="auto" w:sz="4" w:space="0"/>
              <w:bottom w:val="single" w:color="auto" w:sz="4" w:space="0"/>
              <w:right w:val="single" w:color="auto" w:sz="4" w:space="0"/>
            </w:tcBorders>
            <w:noWrap w:val="0"/>
            <w:tcMar>
              <w:top w:w="28" w:type="dxa"/>
              <w:left w:w="51" w:type="dxa"/>
              <w:bottom w:w="28" w:type="dxa"/>
              <w:right w:w="51" w:type="dxa"/>
            </w:tcMar>
            <w:vAlign w:val="center"/>
          </w:tcPr>
          <w:p w14:paraId="1DEBAA25">
            <w:pPr>
              <w:widowControl/>
              <w:spacing w:line="360" w:lineRule="auto"/>
              <w:jc w:val="both"/>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价格分统一采用低价优先法，即满足</w:t>
            </w:r>
            <w:r>
              <w:rPr>
                <w:rFonts w:hint="eastAsia" w:ascii="宋体" w:hAnsi="宋体" w:cs="宋体"/>
                <w:b w:val="0"/>
                <w:bCs w:val="0"/>
                <w:i w:val="0"/>
                <w:iCs w:val="0"/>
                <w:color w:val="000000"/>
                <w:kern w:val="2"/>
                <w:sz w:val="24"/>
                <w:szCs w:val="24"/>
                <w:highlight w:val="none"/>
                <w:vertAlign w:val="baseline"/>
                <w:lang w:val="en-US" w:eastAsia="zh-CN" w:bidi="ar-SA"/>
              </w:rPr>
              <w:t>发包</w:t>
            </w:r>
            <w:r>
              <w:rPr>
                <w:rFonts w:hint="default" w:ascii="宋体" w:hAnsi="宋体" w:eastAsia="宋体" w:cs="宋体"/>
                <w:b w:val="0"/>
                <w:bCs w:val="0"/>
                <w:i w:val="0"/>
                <w:iCs w:val="0"/>
                <w:color w:val="000000"/>
                <w:kern w:val="2"/>
                <w:sz w:val="24"/>
                <w:szCs w:val="24"/>
                <w:highlight w:val="none"/>
                <w:vertAlign w:val="baseline"/>
                <w:lang w:val="en-US" w:eastAsia="zh-CN" w:bidi="ar-SA"/>
              </w:rPr>
              <w:t>文件要求且最终报价最低的费率作为评标基准价，其价格分为满分1</w:t>
            </w:r>
            <w:r>
              <w:rPr>
                <w:rFonts w:hint="eastAsia" w:ascii="宋体" w:hAnsi="宋体" w:eastAsia="宋体" w:cs="宋体"/>
                <w:b w:val="0"/>
                <w:bCs w:val="0"/>
                <w:i w:val="0"/>
                <w:iCs w:val="0"/>
                <w:color w:val="000000"/>
                <w:kern w:val="2"/>
                <w:sz w:val="24"/>
                <w:szCs w:val="24"/>
                <w:highlight w:val="none"/>
                <w:vertAlign w:val="baseline"/>
                <w:lang w:val="en-US" w:eastAsia="zh-CN" w:bidi="ar-SA"/>
              </w:rPr>
              <w:t>0</w:t>
            </w:r>
            <w:r>
              <w:rPr>
                <w:rFonts w:hint="default" w:ascii="宋体" w:hAnsi="宋体" w:eastAsia="宋体" w:cs="宋体"/>
                <w:b w:val="0"/>
                <w:bCs w:val="0"/>
                <w:i w:val="0"/>
                <w:iCs w:val="0"/>
                <w:color w:val="000000"/>
                <w:kern w:val="2"/>
                <w:sz w:val="24"/>
                <w:szCs w:val="24"/>
                <w:highlight w:val="none"/>
                <w:vertAlign w:val="baseline"/>
                <w:lang w:val="en-US" w:eastAsia="zh-CN" w:bidi="ar-SA"/>
              </w:rPr>
              <w:t>分。其他供应商的价格分统一按照下列公式计算（四舍五入保留至小数点后两位数，响应报价保留两位小数）：</w:t>
            </w:r>
          </w:p>
          <w:p w14:paraId="6B6A427D">
            <w:pPr>
              <w:spacing w:line="360" w:lineRule="auto"/>
              <w:jc w:val="left"/>
              <w:rPr>
                <w:color w:val="000000"/>
              </w:rPr>
            </w:pPr>
            <w:r>
              <w:rPr>
                <w:rFonts w:hint="default" w:ascii="宋体" w:hAnsi="宋体" w:eastAsia="宋体" w:cs="宋体"/>
                <w:b w:val="0"/>
                <w:bCs w:val="0"/>
                <w:i w:val="0"/>
                <w:iCs w:val="0"/>
                <w:color w:val="000000"/>
                <w:kern w:val="2"/>
                <w:sz w:val="24"/>
                <w:szCs w:val="24"/>
                <w:highlight w:val="none"/>
                <w:vertAlign w:val="baseline"/>
                <w:lang w:val="en-US" w:eastAsia="zh-CN" w:bidi="ar-SA"/>
              </w:rPr>
              <w:t>报价得分＝（评标基准价/</w:t>
            </w:r>
            <w:r>
              <w:rPr>
                <w:rFonts w:hint="eastAsia" w:ascii="宋体" w:hAnsi="宋体" w:cs="宋体"/>
                <w:b w:val="0"/>
                <w:bCs w:val="0"/>
                <w:i w:val="0"/>
                <w:iCs w:val="0"/>
                <w:color w:val="000000"/>
                <w:kern w:val="2"/>
                <w:sz w:val="24"/>
                <w:szCs w:val="24"/>
                <w:highlight w:val="none"/>
                <w:vertAlign w:val="baseline"/>
                <w:lang w:val="en-US" w:eastAsia="zh-CN" w:bidi="ar-SA"/>
              </w:rPr>
              <w:t>响应</w:t>
            </w:r>
            <w:r>
              <w:rPr>
                <w:rFonts w:hint="default" w:ascii="宋体" w:hAnsi="宋体" w:eastAsia="宋体" w:cs="宋体"/>
                <w:b w:val="0"/>
                <w:bCs w:val="0"/>
                <w:i w:val="0"/>
                <w:iCs w:val="0"/>
                <w:color w:val="000000"/>
                <w:kern w:val="2"/>
                <w:sz w:val="24"/>
                <w:szCs w:val="24"/>
                <w:highlight w:val="none"/>
                <w:vertAlign w:val="baseline"/>
                <w:lang w:val="en-US" w:eastAsia="zh-CN" w:bidi="ar-SA"/>
              </w:rPr>
              <w:t>报价）×1</w:t>
            </w:r>
            <w:r>
              <w:rPr>
                <w:rFonts w:hint="eastAsia" w:ascii="宋体" w:hAnsi="宋体" w:eastAsia="宋体" w:cs="宋体"/>
                <w:b w:val="0"/>
                <w:bCs w:val="0"/>
                <w:i w:val="0"/>
                <w:iCs w:val="0"/>
                <w:color w:val="000000"/>
                <w:kern w:val="2"/>
                <w:sz w:val="24"/>
                <w:szCs w:val="24"/>
                <w:highlight w:val="none"/>
                <w:vertAlign w:val="baseline"/>
                <w:lang w:val="en-US" w:eastAsia="zh-CN" w:bidi="ar-SA"/>
              </w:rPr>
              <w:t>0</w:t>
            </w:r>
            <w:r>
              <w:rPr>
                <w:rFonts w:hint="default" w:ascii="宋体" w:hAnsi="宋体" w:eastAsia="宋体" w:cs="宋体"/>
                <w:b w:val="0"/>
                <w:bCs w:val="0"/>
                <w:i w:val="0"/>
                <w:iCs w:val="0"/>
                <w:color w:val="000000"/>
                <w:kern w:val="2"/>
                <w:sz w:val="24"/>
                <w:szCs w:val="24"/>
                <w:highlight w:val="none"/>
                <w:vertAlign w:val="baseline"/>
                <w:lang w:val="en-US" w:eastAsia="zh-CN" w:bidi="ar-SA"/>
              </w:rPr>
              <w:t>％×100</w:t>
            </w:r>
          </w:p>
        </w:tc>
      </w:tr>
    </w:tbl>
    <w:p w14:paraId="3453AB3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2.2.3分值汇总</w:t>
      </w:r>
    </w:p>
    <w:p w14:paraId="5046D2A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eastAsia="zh-CN"/>
        </w:rPr>
        <w:t>评审小组</w:t>
      </w:r>
      <w:r>
        <w:rPr>
          <w:rFonts w:hint="eastAsia" w:ascii="宋体" w:hAnsi="宋体" w:eastAsia="宋体" w:cs="宋体"/>
          <w:color w:val="auto"/>
          <w:sz w:val="24"/>
          <w:highlight w:val="none"/>
        </w:rPr>
        <w:t>各成员应当独立对每个有效响应的文件进行评价、打分，然后汇总每个供应商每项评分因素的得分，再取各位评委评分之平均值，四舍五入保留至小数点后两位数，得到该供应商的技术资信分。</w:t>
      </w:r>
    </w:p>
    <w:p w14:paraId="2AE2640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（2）将每个供应商的技术资信分加上根据上述标准计算出的价格分，即为该供应商的综合总得分。</w:t>
      </w:r>
    </w:p>
    <w:p w14:paraId="386B48F6">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43BD89F7">
      <w:pPr>
        <w:spacing w:line="360" w:lineRule="auto"/>
        <w:jc w:val="center"/>
        <w:outlineLvl w:val="0"/>
        <w:rPr>
          <w:rFonts w:hint="eastAsia" w:ascii="宋体" w:hAnsi="宋体" w:eastAsia="宋体" w:cs="宋体"/>
          <w:b/>
          <w:color w:val="auto"/>
          <w:sz w:val="28"/>
          <w:highlight w:val="none"/>
        </w:rPr>
      </w:pPr>
      <w:bookmarkStart w:id="85" w:name="_Toc29923"/>
      <w:bookmarkStart w:id="86" w:name="_Toc355"/>
      <w:bookmarkStart w:id="87" w:name="_Toc63440929"/>
      <w:bookmarkStart w:id="88" w:name="_Toc2430"/>
      <w:r>
        <w:rPr>
          <w:rFonts w:hint="eastAsia" w:ascii="宋体" w:hAnsi="宋体" w:eastAsia="宋体" w:cs="宋体"/>
          <w:b/>
          <w:color w:val="auto"/>
          <w:sz w:val="28"/>
          <w:highlight w:val="none"/>
        </w:rPr>
        <w:t>第五章  采购合同</w:t>
      </w:r>
      <w:bookmarkEnd w:id="85"/>
      <w:bookmarkEnd w:id="86"/>
      <w:bookmarkEnd w:id="87"/>
    </w:p>
    <w:p w14:paraId="14B3055D">
      <w:pPr>
        <w:keepNext w:val="0"/>
        <w:keepLines w:val="0"/>
        <w:pageBreakBefore w:val="0"/>
        <w:widowControl w:val="0"/>
        <w:kinsoku/>
        <w:wordWrap/>
        <w:overflowPunct/>
        <w:topLinePunct w:val="0"/>
        <w:autoSpaceDE/>
        <w:autoSpaceDN/>
        <w:bidi w:val="0"/>
        <w:adjustRightInd/>
        <w:snapToGrid/>
        <w:spacing w:after="0" w:afterLines="50" w:line="600" w:lineRule="exact"/>
        <w:ind w:left="0" w:right="0" w:firstLine="0"/>
        <w:jc w:val="center"/>
        <w:textAlignment w:val="auto"/>
        <w:rPr>
          <w:rFonts w:hint="eastAsia" w:ascii="宋体" w:hAnsi="宋体" w:cs="宋体"/>
          <w:b/>
          <w:bCs/>
          <w:color w:val="000000"/>
          <w:spacing w:val="0"/>
          <w:position w:val="0"/>
          <w:sz w:val="28"/>
          <w:szCs w:val="28"/>
          <w:lang w:eastAsia="zh-CN"/>
        </w:rPr>
      </w:pPr>
      <w:r>
        <w:rPr>
          <w:rFonts w:ascii="宋体" w:hAnsi="宋体" w:cs="宋体"/>
          <w:b/>
          <w:bCs/>
          <w:color w:val="000000"/>
          <w:spacing w:val="0"/>
          <w:position w:val="0"/>
          <w:sz w:val="40"/>
          <w:szCs w:val="40"/>
        </w:rPr>
        <w:t>采购合同参考范本</w:t>
      </w:r>
    </w:p>
    <w:p w14:paraId="53A68B7E">
      <w:pPr>
        <w:keepNext w:val="0"/>
        <w:keepLines w:val="0"/>
        <w:pageBreakBefore w:val="0"/>
        <w:widowControl w:val="0"/>
        <w:kinsoku/>
        <w:wordWrap/>
        <w:overflowPunct/>
        <w:topLinePunct w:val="0"/>
        <w:autoSpaceDE/>
        <w:autoSpaceDN/>
        <w:bidi w:val="0"/>
        <w:adjustRightInd/>
        <w:snapToGrid/>
        <w:spacing w:after="0" w:afterLines="50" w:line="600" w:lineRule="exact"/>
        <w:ind w:left="0" w:right="0" w:firstLine="0"/>
        <w:jc w:val="center"/>
        <w:textAlignment w:val="auto"/>
        <w:rPr>
          <w:rFonts w:ascii="宋体" w:hAnsi="宋体" w:cs="宋体"/>
          <w:b/>
          <w:bCs/>
          <w:color w:val="000000"/>
          <w:spacing w:val="0"/>
          <w:position w:val="0"/>
          <w:sz w:val="28"/>
          <w:szCs w:val="28"/>
        </w:rPr>
      </w:pPr>
      <w:r>
        <w:rPr>
          <w:rFonts w:hint="eastAsia" w:ascii="宋体" w:hAnsi="宋体" w:cs="宋体"/>
          <w:b/>
          <w:bCs/>
          <w:color w:val="000000"/>
          <w:spacing w:val="0"/>
          <w:position w:val="0"/>
          <w:sz w:val="28"/>
          <w:szCs w:val="28"/>
          <w:lang w:eastAsia="zh-CN"/>
        </w:rPr>
        <w:t>（</w:t>
      </w:r>
      <w:r>
        <w:rPr>
          <w:rFonts w:hint="eastAsia" w:ascii="宋体" w:hAnsi="宋体" w:cs="宋体"/>
          <w:b/>
          <w:bCs/>
          <w:color w:val="000000"/>
          <w:spacing w:val="0"/>
          <w:position w:val="0"/>
          <w:sz w:val="28"/>
          <w:szCs w:val="28"/>
          <w:lang w:val="en-US" w:eastAsia="zh-CN"/>
        </w:rPr>
        <w:t>服务</w:t>
      </w:r>
      <w:r>
        <w:rPr>
          <w:rFonts w:ascii="宋体" w:hAnsi="宋体" w:cs="宋体"/>
          <w:b/>
          <w:bCs/>
          <w:color w:val="000000"/>
          <w:spacing w:val="0"/>
          <w:position w:val="0"/>
          <w:sz w:val="28"/>
          <w:szCs w:val="28"/>
        </w:rPr>
        <w:t>类</w:t>
      </w:r>
      <w:r>
        <w:rPr>
          <w:rFonts w:hint="eastAsia" w:ascii="宋体" w:hAnsi="宋体" w:cs="宋体"/>
          <w:b/>
          <w:bCs/>
          <w:color w:val="000000"/>
          <w:spacing w:val="0"/>
          <w:position w:val="0"/>
          <w:sz w:val="28"/>
          <w:szCs w:val="28"/>
          <w:lang w:eastAsia="zh-CN"/>
        </w:rPr>
        <w:t>）</w:t>
      </w:r>
    </w:p>
    <w:p w14:paraId="7A2AE16B">
      <w:pPr>
        <w:keepNext w:val="0"/>
        <w:keepLines w:val="0"/>
        <w:pageBreakBefore w:val="0"/>
        <w:widowControl w:val="0"/>
        <w:kinsoku/>
        <w:wordWrap/>
        <w:overflowPunct/>
        <w:topLinePunct w:val="0"/>
        <w:autoSpaceDE/>
        <w:autoSpaceDN/>
        <w:bidi w:val="0"/>
        <w:adjustRightInd/>
        <w:snapToGrid/>
        <w:spacing w:line="600" w:lineRule="exact"/>
        <w:ind w:left="0" w:right="0" w:firstLine="0"/>
        <w:textAlignment w:val="auto"/>
        <w:rPr>
          <w:color w:val="000000"/>
          <w:spacing w:val="0"/>
          <w:position w:val="0"/>
        </w:rPr>
      </w:pPr>
    </w:p>
    <w:p w14:paraId="6230C811">
      <w:pPr>
        <w:pStyle w:val="22"/>
        <w:rPr>
          <w:color w:val="000000"/>
          <w:spacing w:val="0"/>
          <w:position w:val="0"/>
        </w:rPr>
      </w:pPr>
    </w:p>
    <w:p w14:paraId="44F11FED">
      <w:pPr>
        <w:pStyle w:val="22"/>
        <w:ind w:left="0" w:leftChars="0" w:firstLine="0" w:firstLineChars="0"/>
        <w:rPr>
          <w:color w:val="000000"/>
          <w:spacing w:val="0"/>
          <w:position w:val="0"/>
        </w:rPr>
      </w:pPr>
    </w:p>
    <w:p w14:paraId="7F2730E3">
      <w:pPr>
        <w:pStyle w:val="22"/>
        <w:rPr>
          <w:color w:val="000000"/>
          <w:spacing w:val="0"/>
          <w:position w:val="0"/>
        </w:rPr>
      </w:pPr>
    </w:p>
    <w:p w14:paraId="660461E8">
      <w:pPr>
        <w:keepNext w:val="0"/>
        <w:keepLines w:val="0"/>
        <w:pageBreakBefore w:val="0"/>
        <w:widowControl w:val="0"/>
        <w:kinsoku/>
        <w:wordWrap/>
        <w:overflowPunct/>
        <w:topLinePunct w:val="0"/>
        <w:autoSpaceDE/>
        <w:autoSpaceDN/>
        <w:bidi w:val="0"/>
        <w:adjustRightInd/>
        <w:snapToGrid/>
        <w:spacing w:line="600" w:lineRule="exact"/>
        <w:ind w:left="0" w:right="0" w:firstLine="0"/>
        <w:jc w:val="center"/>
        <w:textAlignment w:val="auto"/>
        <w:rPr>
          <w:rFonts w:hint="eastAsia" w:ascii="宋体" w:hAnsi="宋体" w:eastAsia="宋体" w:cs="宋体"/>
          <w:b/>
          <w:bCs/>
          <w:color w:val="000000"/>
          <w:spacing w:val="0"/>
          <w:position w:val="0"/>
          <w:sz w:val="24"/>
          <w:szCs w:val="24"/>
        </w:rPr>
      </w:pPr>
      <w:r>
        <w:rPr>
          <w:rFonts w:hint="eastAsia" w:ascii="宋体" w:hAnsi="宋体" w:eastAsia="宋体" w:cs="宋体"/>
          <w:b/>
          <w:bCs/>
          <w:color w:val="000000"/>
          <w:spacing w:val="0"/>
          <w:position w:val="0"/>
          <w:sz w:val="24"/>
          <w:szCs w:val="24"/>
        </w:rPr>
        <w:t>第一部分 合同书</w:t>
      </w:r>
    </w:p>
    <w:p w14:paraId="6AE72B30">
      <w:pPr>
        <w:keepNext w:val="0"/>
        <w:keepLines w:val="0"/>
        <w:pageBreakBefore w:val="0"/>
        <w:widowControl w:val="0"/>
        <w:kinsoku/>
        <w:wordWrap/>
        <w:overflowPunct/>
        <w:topLinePunct w:val="0"/>
        <w:autoSpaceDE/>
        <w:autoSpaceDN/>
        <w:bidi w:val="0"/>
        <w:adjustRightInd/>
        <w:snapToGrid/>
        <w:spacing w:line="600" w:lineRule="exact"/>
        <w:ind w:left="0" w:right="0" w:firstLine="0"/>
        <w:textAlignment w:val="auto"/>
        <w:rPr>
          <w:rFonts w:hint="eastAsia" w:ascii="宋体" w:hAnsi="宋体" w:eastAsia="宋体" w:cs="宋体"/>
          <w:color w:val="000000"/>
          <w:spacing w:val="0"/>
          <w:position w:val="0"/>
          <w:sz w:val="24"/>
          <w:szCs w:val="24"/>
        </w:rPr>
      </w:pPr>
    </w:p>
    <w:p w14:paraId="70ED60B4">
      <w:pPr>
        <w:keepNext w:val="0"/>
        <w:keepLines w:val="0"/>
        <w:pageBreakBefore w:val="0"/>
        <w:widowControl w:val="0"/>
        <w:kinsoku/>
        <w:wordWrap/>
        <w:overflowPunct/>
        <w:topLinePunct w:val="0"/>
        <w:autoSpaceDE/>
        <w:autoSpaceDN/>
        <w:bidi w:val="0"/>
        <w:adjustRightInd/>
        <w:snapToGrid/>
        <w:spacing w:line="600" w:lineRule="exact"/>
        <w:ind w:left="0" w:right="0" w:firstLine="0"/>
        <w:textAlignment w:val="auto"/>
        <w:rPr>
          <w:rFonts w:hint="eastAsia" w:ascii="宋体" w:hAnsi="宋体" w:eastAsia="宋体" w:cs="宋体"/>
          <w:color w:val="000000"/>
          <w:spacing w:val="0"/>
          <w:position w:val="0"/>
          <w:sz w:val="24"/>
          <w:szCs w:val="24"/>
        </w:rPr>
      </w:pPr>
    </w:p>
    <w:p w14:paraId="6518A53D">
      <w:pPr>
        <w:pStyle w:val="22"/>
        <w:rPr>
          <w:rFonts w:hint="eastAsia" w:ascii="宋体" w:hAnsi="宋体" w:eastAsia="宋体" w:cs="宋体"/>
          <w:color w:val="000000"/>
          <w:spacing w:val="0"/>
          <w:position w:val="0"/>
          <w:sz w:val="24"/>
          <w:szCs w:val="24"/>
        </w:rPr>
      </w:pPr>
    </w:p>
    <w:p w14:paraId="422CF6BA">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eastAsia" w:ascii="宋体" w:hAnsi="宋体" w:eastAsia="宋体" w:cs="宋体"/>
          <w:color w:val="000000"/>
          <w:spacing w:val="0"/>
          <w:position w:val="0"/>
          <w:sz w:val="24"/>
          <w:szCs w:val="24"/>
          <w:lang w:eastAsia="zh-CN"/>
        </w:rPr>
      </w:pPr>
      <w:r>
        <w:rPr>
          <w:rFonts w:hint="eastAsia" w:ascii="宋体" w:hAnsi="宋体" w:eastAsia="宋体" w:cs="宋体"/>
          <w:color w:val="000000"/>
          <w:spacing w:val="0"/>
          <w:position w:val="0"/>
          <w:sz w:val="24"/>
          <w:szCs w:val="24"/>
        </w:rPr>
        <w:t>项目名称：六安市城乡居民医保缴费券</w:t>
      </w:r>
      <w:r>
        <w:rPr>
          <w:rFonts w:hint="eastAsia" w:ascii="宋体" w:hAnsi="宋体" w:eastAsia="宋体" w:cs="宋体"/>
          <w:color w:val="000000"/>
          <w:spacing w:val="0"/>
          <w:position w:val="0"/>
          <w:sz w:val="24"/>
          <w:szCs w:val="24"/>
          <w:lang w:val="en-US" w:eastAsia="zh-CN"/>
        </w:rPr>
        <w:t>服务项目</w:t>
      </w:r>
    </w:p>
    <w:p w14:paraId="73EF99EB">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eastAsia" w:ascii="宋体" w:hAnsi="宋体" w:eastAsia="宋体" w:cs="宋体"/>
          <w:color w:val="000000"/>
          <w:spacing w:val="0"/>
          <w:position w:val="0"/>
          <w:sz w:val="24"/>
          <w:szCs w:val="24"/>
          <w:u w:val="single"/>
          <w:lang w:val="en-US" w:eastAsia="zh-CN"/>
        </w:rPr>
      </w:pPr>
      <w:r>
        <w:rPr>
          <w:rFonts w:hint="eastAsia" w:ascii="宋体" w:hAnsi="宋体" w:cs="宋体"/>
          <w:color w:val="000000"/>
          <w:spacing w:val="0"/>
          <w:position w:val="0"/>
          <w:sz w:val="24"/>
          <w:szCs w:val="24"/>
          <w:lang w:eastAsia="zh-CN"/>
        </w:rPr>
        <w:t>项目编号：AHLT-2026159</w:t>
      </w:r>
    </w:p>
    <w:p w14:paraId="3B065189">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default" w:ascii="宋体" w:hAnsi="宋体" w:eastAsia="宋体" w:cs="宋体"/>
          <w:color w:val="000000"/>
          <w:spacing w:val="0"/>
          <w:position w:val="0"/>
          <w:sz w:val="24"/>
          <w:szCs w:val="24"/>
          <w:u w:val="single"/>
          <w:lang w:eastAsia="zh-CN"/>
        </w:rPr>
      </w:pPr>
      <w:r>
        <w:rPr>
          <w:rFonts w:hint="eastAsia" w:ascii="宋体" w:hAnsi="宋体" w:eastAsia="宋体" w:cs="宋体"/>
          <w:color w:val="000000"/>
          <w:spacing w:val="0"/>
          <w:position w:val="0"/>
          <w:sz w:val="24"/>
          <w:szCs w:val="24"/>
        </w:rPr>
        <w:t>甲方(</w:t>
      </w:r>
      <w:r>
        <w:rPr>
          <w:rFonts w:hint="eastAsia" w:ascii="宋体" w:hAnsi="宋体" w:eastAsia="宋体" w:cs="宋体"/>
          <w:color w:val="000000"/>
          <w:spacing w:val="0"/>
          <w:position w:val="0"/>
          <w:sz w:val="24"/>
          <w:szCs w:val="24"/>
          <w:lang w:eastAsia="zh-CN"/>
        </w:rPr>
        <w:t>发包人</w:t>
      </w:r>
      <w:r>
        <w:rPr>
          <w:rFonts w:hint="eastAsia" w:ascii="宋体" w:hAnsi="宋体" w:eastAsia="宋体" w:cs="宋体"/>
          <w:color w:val="000000"/>
          <w:spacing w:val="0"/>
          <w:position w:val="0"/>
          <w:sz w:val="24"/>
          <w:szCs w:val="24"/>
        </w:rPr>
        <w:t>)：</w:t>
      </w:r>
      <w:r>
        <w:rPr>
          <w:rFonts w:hint="eastAsia" w:ascii="宋体" w:hAnsi="宋体" w:cs="宋体"/>
          <w:color w:val="000000"/>
          <w:spacing w:val="0"/>
          <w:position w:val="0"/>
          <w:sz w:val="24"/>
          <w:szCs w:val="24"/>
          <w:lang w:eastAsia="zh-CN"/>
        </w:rPr>
        <w:t>六安市医疗保障局</w:t>
      </w:r>
    </w:p>
    <w:p w14:paraId="79A2B0AB">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乙方(成交供应商)：</w:t>
      </w:r>
    </w:p>
    <w:p w14:paraId="1ACAE2B6">
      <w:pPr>
        <w:keepNext w:val="0"/>
        <w:keepLines w:val="0"/>
        <w:pageBreakBefore w:val="0"/>
        <w:widowControl w:val="0"/>
        <w:kinsoku/>
        <w:wordWrap/>
        <w:overflowPunct/>
        <w:topLinePunct w:val="0"/>
        <w:autoSpaceDE/>
        <w:autoSpaceDN/>
        <w:bidi w:val="0"/>
        <w:adjustRightInd/>
        <w:snapToGrid/>
        <w:spacing w:line="700" w:lineRule="exact"/>
        <w:ind w:left="1050" w:leftChars="500" w:right="0" w:firstLine="0"/>
        <w:jc w:val="left"/>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签</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订</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地：</w:t>
      </w:r>
    </w:p>
    <w:p w14:paraId="09135624">
      <w:pPr>
        <w:keepNext w:val="0"/>
        <w:keepLines w:val="0"/>
        <w:pageBreakBefore w:val="0"/>
        <w:widowControl w:val="0"/>
        <w:kinsoku/>
        <w:wordWrap/>
        <w:overflowPunct/>
        <w:topLinePunct w:val="0"/>
        <w:autoSpaceDE/>
        <w:autoSpaceDN/>
        <w:bidi w:val="0"/>
        <w:adjustRightInd/>
        <w:snapToGrid/>
        <w:spacing w:line="700" w:lineRule="exact"/>
        <w:ind w:left="1050" w:leftChars="500"/>
        <w:jc w:val="left"/>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签订日期：</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rPr>
        <w:t>年</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rPr>
        <w:t>月</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rPr>
        <w:t>日</w:t>
      </w:r>
    </w:p>
    <w:p w14:paraId="79097744">
      <w:pPr>
        <w:keepNext w:val="0"/>
        <w:keepLines w:val="0"/>
        <w:pageBreakBefore w:val="0"/>
        <w:widowControl w:val="0"/>
        <w:kinsoku/>
        <w:wordWrap/>
        <w:overflowPunct/>
        <w:topLinePunct w:val="0"/>
        <w:autoSpaceDE/>
        <w:autoSpaceDN/>
        <w:bidi w:val="0"/>
        <w:adjustRightInd/>
        <w:snapToGrid w:val="0"/>
        <w:spacing w:line="600" w:lineRule="exact"/>
        <w:ind w:left="0" w:right="0" w:firstLine="0" w:firstLineChars="0"/>
        <w:textAlignment w:val="auto"/>
        <w:rPr>
          <w:color w:val="000000"/>
          <w:spacing w:val="0"/>
          <w:position w:val="0"/>
        </w:rPr>
        <w:sectPr>
          <w:footerReference r:id="rId5" w:type="default"/>
          <w:pgSz w:w="11907" w:h="16839"/>
          <w:pgMar w:top="1118" w:right="1769" w:bottom="1233" w:left="1771" w:header="877" w:footer="982" w:gutter="0"/>
          <w:pgNumType w:fmt="decimal"/>
          <w:cols w:space="720" w:num="1"/>
        </w:sectPr>
      </w:pPr>
    </w:p>
    <w:p w14:paraId="766EEF07">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hint="eastAsia" w:ascii="宋体" w:hAnsi="宋体" w:cs="宋体"/>
          <w:color w:val="000000"/>
          <w:spacing w:val="0"/>
          <w:position w:val="0"/>
          <w:sz w:val="24"/>
          <w:szCs w:val="24"/>
          <w:u w:val="single"/>
        </w:rPr>
        <w:t xml:space="preserve"> </w:t>
      </w:r>
      <w:r>
        <w:rPr>
          <w:rFonts w:hint="eastAsia" w:ascii="宋体" w:hAnsi="宋体" w:cs="宋体"/>
          <w:color w:val="000000"/>
          <w:spacing w:val="0"/>
          <w:position w:val="0"/>
          <w:sz w:val="24"/>
          <w:szCs w:val="24"/>
          <w:u w:val="single"/>
          <w:lang w:eastAsia="zh-CN"/>
        </w:rPr>
        <w:t>六安市医疗保障局</w:t>
      </w:r>
      <w:r>
        <w:rPr>
          <w:rFonts w:hint="eastAsia" w:ascii="宋体" w:hAnsi="宋体" w:cs="宋体"/>
          <w:color w:val="000000"/>
          <w:spacing w:val="0"/>
          <w:position w:val="0"/>
          <w:sz w:val="24"/>
          <w:szCs w:val="24"/>
          <w:u w:val="single"/>
        </w:rPr>
        <w:t xml:space="preserve"> </w:t>
      </w:r>
      <w:r>
        <w:rPr>
          <w:rFonts w:ascii="宋体" w:hAnsi="宋体" w:cs="宋体"/>
          <w:color w:val="000000"/>
          <w:spacing w:val="0"/>
          <w:position w:val="0"/>
          <w:sz w:val="24"/>
          <w:szCs w:val="24"/>
        </w:rPr>
        <w:t>(以下简称：甲方) 通过</w:t>
      </w:r>
      <w:r>
        <w:rPr>
          <w:rFonts w:hint="eastAsia" w:ascii="宋体" w:hAnsi="宋体" w:cs="宋体"/>
          <w:color w:val="000000"/>
          <w:spacing w:val="0"/>
          <w:position w:val="0"/>
          <w:sz w:val="24"/>
          <w:szCs w:val="24"/>
          <w:u w:val="single"/>
        </w:rPr>
        <w:t xml:space="preserve"> 安徽省六投项目管理有限公司 </w:t>
      </w:r>
      <w:r>
        <w:rPr>
          <w:rFonts w:ascii="宋体" w:hAnsi="宋体" w:cs="宋体"/>
          <w:color w:val="000000"/>
          <w:spacing w:val="0"/>
          <w:position w:val="0"/>
          <w:sz w:val="24"/>
          <w:szCs w:val="24"/>
        </w:rPr>
        <w:t>组织的</w:t>
      </w:r>
      <w:r>
        <w:rPr>
          <w:rFonts w:hint="eastAsia" w:ascii="宋体" w:hAnsi="宋体" w:cs="宋体"/>
          <w:color w:val="000000"/>
          <w:spacing w:val="0"/>
          <w:position w:val="0"/>
          <w:sz w:val="24"/>
          <w:szCs w:val="24"/>
          <w:u w:val="single"/>
        </w:rPr>
        <w:t xml:space="preserve"> </w:t>
      </w:r>
      <w:r>
        <w:rPr>
          <w:rFonts w:hint="eastAsia" w:ascii="宋体" w:hAnsi="宋体" w:cs="宋体"/>
          <w:color w:val="000000"/>
          <w:spacing w:val="0"/>
          <w:position w:val="0"/>
          <w:sz w:val="24"/>
          <w:szCs w:val="24"/>
          <w:u w:val="single"/>
          <w:lang w:val="en-US" w:eastAsia="zh-CN"/>
        </w:rPr>
        <w:t>发包</w:t>
      </w:r>
      <w:r>
        <w:rPr>
          <w:rFonts w:hint="eastAsia" w:ascii="宋体" w:hAnsi="宋体" w:cs="宋体"/>
          <w:color w:val="000000"/>
          <w:spacing w:val="0"/>
          <w:position w:val="0"/>
          <w:sz w:val="24"/>
          <w:szCs w:val="24"/>
          <w:u w:val="single"/>
        </w:rPr>
        <w:t xml:space="preserve"> </w:t>
      </w:r>
      <w:r>
        <w:rPr>
          <w:rFonts w:ascii="宋体" w:hAnsi="宋体" w:cs="宋体"/>
          <w:color w:val="000000"/>
          <w:spacing w:val="0"/>
          <w:position w:val="0"/>
          <w:sz w:val="24"/>
          <w:szCs w:val="24"/>
        </w:rPr>
        <w:t>方式采购活动，经</w:t>
      </w:r>
      <w:r>
        <w:rPr>
          <w:rFonts w:hint="eastAsia" w:ascii="宋体" w:hAnsi="宋体" w:cs="宋体"/>
          <w:color w:val="000000"/>
          <w:spacing w:val="0"/>
          <w:position w:val="0"/>
          <w:sz w:val="24"/>
          <w:szCs w:val="24"/>
          <w:u w:val="single"/>
          <w:lang w:val="en-US" w:eastAsia="zh-CN"/>
        </w:rPr>
        <w:t>评审小组</w:t>
      </w:r>
      <w:r>
        <w:rPr>
          <w:rFonts w:ascii="宋体" w:hAnsi="宋体" w:cs="宋体"/>
          <w:color w:val="000000"/>
          <w:spacing w:val="0"/>
          <w:position w:val="0"/>
          <w:sz w:val="24"/>
          <w:szCs w:val="24"/>
        </w:rPr>
        <w:t>评定，(</w:t>
      </w:r>
      <w:r>
        <w:rPr>
          <w:rFonts w:ascii="宋体" w:hAnsi="宋体" w:cs="宋体"/>
          <w:color w:val="000000"/>
          <w:spacing w:val="0"/>
          <w:position w:val="0"/>
          <w:sz w:val="24"/>
          <w:szCs w:val="24"/>
          <w:u w:val="single"/>
        </w:rPr>
        <w:t>成交供应商名称)</w:t>
      </w:r>
      <w:r>
        <w:rPr>
          <w:rFonts w:ascii="宋体" w:hAnsi="宋体" w:cs="宋体"/>
          <w:color w:val="000000"/>
          <w:spacing w:val="0"/>
          <w:position w:val="0"/>
          <w:sz w:val="24"/>
          <w:szCs w:val="24"/>
        </w:rPr>
        <w:t xml:space="preserve"> (以下简称</w:t>
      </w:r>
      <w:r>
        <w:rPr>
          <w:rFonts w:hint="eastAsia" w:ascii="宋体" w:hAnsi="宋体" w:cs="宋体"/>
          <w:color w:val="000000"/>
          <w:spacing w:val="0"/>
          <w:position w:val="0"/>
          <w:sz w:val="24"/>
          <w:szCs w:val="24"/>
          <w:lang w:eastAsia="zh-CN"/>
        </w:rPr>
        <w:t>：</w:t>
      </w:r>
      <w:r>
        <w:rPr>
          <w:rFonts w:ascii="宋体" w:hAnsi="宋体" w:cs="宋体"/>
          <w:color w:val="000000"/>
          <w:spacing w:val="0"/>
          <w:position w:val="0"/>
          <w:sz w:val="24"/>
          <w:szCs w:val="24"/>
        </w:rPr>
        <w:t>乙方)为本项目成交供应商，现按照采购文件确定的事项签订本合同。</w:t>
      </w:r>
    </w:p>
    <w:p w14:paraId="32F6F189">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根据《中华人民共和国民法典》、《中华人民共和国政府采购法》等相关法律法规之规定，按照平等、自愿、公平和诚实信用的原则，经甲方和乙方协商一致，约定以下合同条款，以兹共同遵守、全面履行。</w:t>
      </w:r>
    </w:p>
    <w:p w14:paraId="196D1DE8">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outlineLvl w:val="0"/>
        <w:rPr>
          <w:rFonts w:ascii="宋体" w:hAnsi="宋体" w:cs="宋体"/>
          <w:color w:val="000000"/>
          <w:spacing w:val="0"/>
          <w:position w:val="0"/>
          <w:sz w:val="24"/>
          <w:szCs w:val="24"/>
        </w:rPr>
      </w:pPr>
      <w:r>
        <w:rPr>
          <w:rFonts w:ascii="宋体" w:hAnsi="宋体" w:cs="宋体"/>
          <w:color w:val="000000"/>
          <w:spacing w:val="0"/>
          <w:position w:val="0"/>
          <w:sz w:val="24"/>
          <w:szCs w:val="24"/>
        </w:rPr>
        <w:t>1.1 合同组成部分</w:t>
      </w:r>
    </w:p>
    <w:p w14:paraId="43AA7211">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下列文件为本合同的组成部分，并构成一个整体，需综合解释、相互补充。如果下列文件内容出现不一致的情形，那么在保证按照采购文件确定的事项前提下，组成本合同的多个文件的优先适用顺序如下：</w:t>
      </w:r>
    </w:p>
    <w:p w14:paraId="0FB5CDD7">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1.1.1 本合同及其补充合同、变更协议；</w:t>
      </w:r>
    </w:p>
    <w:p w14:paraId="1B0BFC15">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1.1.2 成交通知书；</w:t>
      </w:r>
    </w:p>
    <w:p w14:paraId="06A77EF3">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1.1.3 响应文件(含澄清或者说明文件)；</w:t>
      </w:r>
    </w:p>
    <w:p w14:paraId="0DC6FB3E">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 xml:space="preserve">1.1.4 </w:t>
      </w:r>
      <w:r>
        <w:rPr>
          <w:rFonts w:hint="eastAsia" w:ascii="宋体" w:hAnsi="宋体" w:cs="宋体"/>
          <w:color w:val="000000"/>
          <w:spacing w:val="0"/>
          <w:position w:val="0"/>
          <w:sz w:val="24"/>
          <w:szCs w:val="24"/>
        </w:rPr>
        <w:t>采购</w:t>
      </w:r>
      <w:r>
        <w:rPr>
          <w:rFonts w:ascii="宋体" w:hAnsi="宋体" w:cs="宋体"/>
          <w:color w:val="000000"/>
          <w:spacing w:val="0"/>
          <w:position w:val="0"/>
          <w:sz w:val="24"/>
          <w:szCs w:val="24"/>
        </w:rPr>
        <w:t>文件(含澄清或者修改文件)；</w:t>
      </w:r>
    </w:p>
    <w:p w14:paraId="3E14D41B">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1.1.5 其他相关采购文件。</w:t>
      </w:r>
    </w:p>
    <w:p w14:paraId="58050FB0">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outlineLvl w:val="0"/>
        <w:rPr>
          <w:rFonts w:ascii="宋体" w:hAnsi="宋体" w:cs="宋体"/>
          <w:color w:val="000000"/>
          <w:spacing w:val="0"/>
          <w:position w:val="0"/>
          <w:sz w:val="24"/>
          <w:szCs w:val="24"/>
        </w:rPr>
      </w:pPr>
      <w:r>
        <w:rPr>
          <w:rFonts w:ascii="宋体" w:hAnsi="宋体" w:cs="宋体"/>
          <w:color w:val="000000"/>
          <w:spacing w:val="0"/>
          <w:position w:val="0"/>
          <w:sz w:val="24"/>
          <w:szCs w:val="24"/>
        </w:rPr>
        <w:t>1.2 服务</w:t>
      </w:r>
    </w:p>
    <w:p w14:paraId="3FD9EB78">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1.2.1 服务名称：</w:t>
      </w:r>
      <w:r>
        <w:rPr>
          <w:rFonts w:hint="eastAsia" w:ascii="宋体" w:hAnsi="宋体" w:eastAsia="宋体" w:cs="宋体"/>
          <w:color w:val="000000"/>
          <w:spacing w:val="0"/>
          <w:position w:val="0"/>
          <w:sz w:val="24"/>
          <w:szCs w:val="24"/>
        </w:rPr>
        <w:t>六安市城乡居民医保缴费券</w:t>
      </w:r>
      <w:r>
        <w:rPr>
          <w:rFonts w:hint="eastAsia" w:ascii="宋体" w:hAnsi="宋体" w:eastAsia="宋体" w:cs="宋体"/>
          <w:color w:val="000000"/>
          <w:spacing w:val="0"/>
          <w:position w:val="0"/>
          <w:sz w:val="24"/>
          <w:szCs w:val="24"/>
          <w:lang w:val="en-US" w:eastAsia="zh-CN"/>
        </w:rPr>
        <w:t>服务项目</w:t>
      </w:r>
      <w:r>
        <w:rPr>
          <w:rFonts w:ascii="宋体" w:hAnsi="宋体" w:cs="宋体"/>
          <w:color w:val="000000"/>
          <w:spacing w:val="0"/>
          <w:position w:val="0"/>
          <w:sz w:val="24"/>
          <w:szCs w:val="24"/>
        </w:rPr>
        <w:t>；</w:t>
      </w:r>
    </w:p>
    <w:p w14:paraId="01F33C8C">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hint="eastAsia" w:ascii="宋体" w:hAnsi="宋体" w:eastAsia="宋体" w:cs="宋体"/>
          <w:color w:val="000000"/>
          <w:spacing w:val="0"/>
          <w:position w:val="0"/>
          <w:sz w:val="24"/>
          <w:szCs w:val="24"/>
          <w:lang w:eastAsia="zh-CN"/>
        </w:rPr>
      </w:pPr>
      <w:r>
        <w:rPr>
          <w:rFonts w:ascii="宋体" w:hAnsi="宋体" w:cs="宋体"/>
          <w:color w:val="000000"/>
          <w:spacing w:val="0"/>
          <w:position w:val="0"/>
          <w:sz w:val="24"/>
          <w:szCs w:val="24"/>
        </w:rPr>
        <w:t>1.2.2 服务内容：</w:t>
      </w:r>
      <w:r>
        <w:rPr>
          <w:rFonts w:hint="eastAsia" w:ascii="宋体" w:hAnsi="宋体" w:eastAsia="宋体" w:cs="宋体"/>
          <w:color w:val="000000"/>
          <w:spacing w:val="0"/>
          <w:position w:val="0"/>
          <w:sz w:val="24"/>
          <w:szCs w:val="24"/>
        </w:rPr>
        <w:t>六安市城乡居民医保缴费券</w:t>
      </w:r>
      <w:r>
        <w:rPr>
          <w:rFonts w:hint="eastAsia" w:ascii="宋体" w:hAnsi="宋体" w:eastAsia="宋体" w:cs="宋体"/>
          <w:color w:val="000000"/>
          <w:spacing w:val="0"/>
          <w:position w:val="0"/>
          <w:sz w:val="24"/>
          <w:szCs w:val="24"/>
          <w:lang w:val="en-US" w:eastAsia="zh-CN"/>
        </w:rPr>
        <w:t>服务项目</w:t>
      </w:r>
      <w:r>
        <w:rPr>
          <w:rFonts w:hint="eastAsia" w:ascii="宋体" w:hAnsi="宋体" w:cs="宋体"/>
          <w:color w:val="000000"/>
          <w:spacing w:val="0"/>
          <w:position w:val="0"/>
          <w:sz w:val="24"/>
          <w:szCs w:val="24"/>
          <w:lang w:eastAsia="zh-CN"/>
        </w:rPr>
        <w:t>，采购内容</w:t>
      </w:r>
      <w:r>
        <w:rPr>
          <w:rFonts w:hint="eastAsia" w:ascii="宋体" w:hAnsi="宋体" w:cs="宋体"/>
          <w:color w:val="000000"/>
          <w:spacing w:val="0"/>
          <w:position w:val="0"/>
          <w:sz w:val="24"/>
          <w:szCs w:val="24"/>
          <w:lang w:val="en-US" w:eastAsia="zh-CN"/>
        </w:rPr>
        <w:t>为</w:t>
      </w:r>
      <w:r>
        <w:rPr>
          <w:rFonts w:hint="eastAsia" w:ascii="宋体" w:hAnsi="宋体" w:eastAsia="宋体" w:cs="宋体"/>
          <w:color w:val="000000"/>
          <w:spacing w:val="0"/>
          <w:position w:val="0"/>
          <w:sz w:val="24"/>
          <w:szCs w:val="24"/>
        </w:rPr>
        <w:t>建立多主体协同联动的城乡居民医保缴费补贴券发放机制，打造一体化闭环管理平台，完成补贴券精准定向投放、全额或差额抵扣参保费用、到期未核销资金原路退还全流程线上管控</w:t>
      </w:r>
      <w:r>
        <w:rPr>
          <w:rFonts w:hint="eastAsia" w:ascii="宋体" w:hAnsi="宋体" w:eastAsia="宋体" w:cs="宋体"/>
          <w:color w:val="000000"/>
          <w:spacing w:val="0"/>
          <w:position w:val="0"/>
          <w:sz w:val="24"/>
          <w:szCs w:val="24"/>
          <w:lang w:eastAsia="zh-CN"/>
        </w:rPr>
        <w:t>。</w:t>
      </w:r>
      <w:r>
        <w:rPr>
          <w:rFonts w:hint="eastAsia" w:ascii="宋体" w:hAnsi="宋体" w:cs="宋体"/>
          <w:color w:val="000000"/>
          <w:spacing w:val="0"/>
          <w:position w:val="0"/>
          <w:sz w:val="24"/>
          <w:szCs w:val="24"/>
          <w:lang w:eastAsia="zh-CN"/>
        </w:rPr>
        <w:t>具体详见采购需求；</w:t>
      </w:r>
    </w:p>
    <w:p w14:paraId="4EE5FFF5">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1.2.3 服务质量：</w:t>
      </w:r>
      <w:r>
        <w:rPr>
          <w:rFonts w:hint="eastAsia" w:ascii="宋体" w:hAnsi="宋体" w:cs="宋体"/>
          <w:color w:val="000000"/>
          <w:spacing w:val="0"/>
          <w:position w:val="0"/>
          <w:sz w:val="24"/>
          <w:szCs w:val="24"/>
          <w:lang w:val="en-US" w:eastAsia="zh-CN"/>
        </w:rPr>
        <w:t>合格</w:t>
      </w:r>
      <w:r>
        <w:rPr>
          <w:rFonts w:ascii="宋体" w:hAnsi="宋体" w:cs="宋体"/>
          <w:color w:val="000000"/>
          <w:spacing w:val="0"/>
          <w:position w:val="0"/>
          <w:sz w:val="24"/>
          <w:szCs w:val="24"/>
        </w:rPr>
        <w:t>。</w:t>
      </w:r>
    </w:p>
    <w:p w14:paraId="7524C3AD">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outlineLvl w:val="0"/>
        <w:rPr>
          <w:rFonts w:ascii="宋体" w:hAnsi="宋体" w:cs="宋体"/>
          <w:color w:val="000000"/>
          <w:spacing w:val="0"/>
          <w:position w:val="0"/>
          <w:sz w:val="24"/>
          <w:szCs w:val="24"/>
        </w:rPr>
      </w:pPr>
      <w:r>
        <w:rPr>
          <w:rFonts w:ascii="宋体" w:hAnsi="宋体" w:cs="宋体"/>
          <w:color w:val="000000"/>
          <w:spacing w:val="0"/>
          <w:position w:val="0"/>
          <w:sz w:val="24"/>
          <w:szCs w:val="24"/>
        </w:rPr>
        <w:t>1.3 价款</w:t>
      </w:r>
    </w:p>
    <w:p w14:paraId="645DCCEC">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本合同总价为：</w:t>
      </w:r>
      <w:r>
        <w:rPr>
          <w:rFonts w:hint="eastAsia" w:ascii="宋体" w:hAnsi="宋体" w:eastAsia="宋体" w:cs="宋体"/>
          <w:color w:val="000000"/>
          <w:spacing w:val="0"/>
          <w:position w:val="0"/>
          <w:sz w:val="24"/>
          <w:szCs w:val="24"/>
        </w:rPr>
        <w:t>￥</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u w:val="single"/>
          <w:lang w:val="en-US" w:eastAsia="zh-CN"/>
        </w:rPr>
        <w:t xml:space="preserve">  </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rPr>
        <w:t>元 (大写：人民币</w:t>
      </w:r>
      <w:r>
        <w:rPr>
          <w:rFonts w:hint="eastAsia" w:ascii="宋体" w:hAnsi="宋体" w:eastAsia="宋体" w:cs="宋体"/>
          <w:color w:val="000000"/>
          <w:spacing w:val="0"/>
          <w:position w:val="0"/>
          <w:sz w:val="24"/>
          <w:szCs w:val="24"/>
          <w:u w:val="single"/>
        </w:rPr>
        <w:t xml:space="preserve">        </w:t>
      </w:r>
      <w:r>
        <w:rPr>
          <w:rFonts w:hint="eastAsia" w:ascii="宋体" w:hAnsi="宋体" w:eastAsia="宋体" w:cs="宋体"/>
          <w:color w:val="000000"/>
          <w:spacing w:val="0"/>
          <w:position w:val="0"/>
          <w:sz w:val="24"/>
          <w:szCs w:val="24"/>
        </w:rPr>
        <w:t>元)</w:t>
      </w:r>
      <w:r>
        <w:rPr>
          <w:rFonts w:ascii="宋体" w:hAnsi="宋体" w:cs="宋体"/>
          <w:color w:val="000000"/>
          <w:spacing w:val="0"/>
          <w:position w:val="0"/>
          <w:sz w:val="24"/>
          <w:szCs w:val="24"/>
        </w:rPr>
        <w:t>。</w:t>
      </w:r>
    </w:p>
    <w:p w14:paraId="255EDEFE">
      <w:pPr>
        <w:keepNext w:val="0"/>
        <w:keepLines w:val="0"/>
        <w:pageBreakBefore w:val="0"/>
        <w:widowControl w:val="0"/>
        <w:kinsoku/>
        <w:wordWrap/>
        <w:overflowPunct/>
        <w:topLinePunct w:val="0"/>
        <w:autoSpaceDE/>
        <w:autoSpaceDN/>
        <w:bidi w:val="0"/>
        <w:adjustRightInd/>
        <w:snapToGrid w:val="0"/>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分项价格：</w:t>
      </w:r>
    </w:p>
    <w:p w14:paraId="60A84C50">
      <w:pPr>
        <w:spacing w:line="71" w:lineRule="exact"/>
        <w:rPr>
          <w:color w:val="000000"/>
          <w:spacing w:val="0"/>
          <w:position w:val="0"/>
        </w:rPr>
      </w:pPr>
    </w:p>
    <w:tbl>
      <w:tblPr>
        <w:tblStyle w:val="71"/>
        <w:tblW w:w="82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28" w:type="dxa"/>
          <w:bottom w:w="28" w:type="dxa"/>
          <w:right w:w="28" w:type="dxa"/>
        </w:tblCellMar>
      </w:tblPr>
      <w:tblGrid>
        <w:gridCol w:w="959"/>
        <w:gridCol w:w="4282"/>
        <w:gridCol w:w="3047"/>
      </w:tblGrid>
      <w:tr w14:paraId="77E8F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9" w:hRule="atLeast"/>
          <w:jc w:val="center"/>
        </w:trPr>
        <w:tc>
          <w:tcPr>
            <w:tcW w:w="959" w:type="dxa"/>
            <w:noWrap w:val="0"/>
            <w:vAlign w:val="center"/>
          </w:tcPr>
          <w:p w14:paraId="7EA39F46">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序号</w:t>
            </w:r>
          </w:p>
        </w:tc>
        <w:tc>
          <w:tcPr>
            <w:tcW w:w="4282" w:type="dxa"/>
            <w:noWrap w:val="0"/>
            <w:vAlign w:val="center"/>
          </w:tcPr>
          <w:p w14:paraId="1B769693">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分项名称</w:t>
            </w:r>
          </w:p>
        </w:tc>
        <w:tc>
          <w:tcPr>
            <w:tcW w:w="3047" w:type="dxa"/>
            <w:noWrap w:val="0"/>
            <w:vAlign w:val="center"/>
          </w:tcPr>
          <w:p w14:paraId="206E4969">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分项价格</w:t>
            </w:r>
          </w:p>
        </w:tc>
      </w:tr>
      <w:tr w14:paraId="6509D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0"/>
            <w:vAlign w:val="center"/>
          </w:tcPr>
          <w:p w14:paraId="56D1EBDF">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w:t>
            </w:r>
          </w:p>
        </w:tc>
        <w:tc>
          <w:tcPr>
            <w:tcW w:w="4282" w:type="dxa"/>
            <w:noWrap w:val="0"/>
            <w:vAlign w:val="center"/>
          </w:tcPr>
          <w:p w14:paraId="2D2E4269">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color w:val="000000"/>
                <w:spacing w:val="0"/>
                <w:position w:val="0"/>
                <w:sz w:val="24"/>
                <w:szCs w:val="24"/>
              </w:rPr>
            </w:pPr>
          </w:p>
        </w:tc>
        <w:tc>
          <w:tcPr>
            <w:tcW w:w="3047" w:type="dxa"/>
            <w:noWrap w:val="0"/>
            <w:vAlign w:val="center"/>
          </w:tcPr>
          <w:p w14:paraId="6F4817CC">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color w:val="000000"/>
                <w:spacing w:val="0"/>
                <w:position w:val="0"/>
                <w:sz w:val="24"/>
                <w:szCs w:val="24"/>
              </w:rPr>
            </w:pPr>
          </w:p>
        </w:tc>
      </w:tr>
      <w:tr w14:paraId="079B5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0"/>
            <w:vAlign w:val="center"/>
          </w:tcPr>
          <w:p w14:paraId="3E94C183">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2</w:t>
            </w:r>
          </w:p>
        </w:tc>
        <w:tc>
          <w:tcPr>
            <w:tcW w:w="4282" w:type="dxa"/>
            <w:noWrap w:val="0"/>
            <w:vAlign w:val="center"/>
          </w:tcPr>
          <w:p w14:paraId="125D7BB9">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color w:val="000000"/>
                <w:spacing w:val="0"/>
                <w:position w:val="0"/>
                <w:sz w:val="24"/>
                <w:szCs w:val="24"/>
              </w:rPr>
            </w:pPr>
          </w:p>
        </w:tc>
        <w:tc>
          <w:tcPr>
            <w:tcW w:w="3047" w:type="dxa"/>
            <w:noWrap w:val="0"/>
            <w:vAlign w:val="center"/>
          </w:tcPr>
          <w:p w14:paraId="5CE9912D">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color w:val="000000"/>
                <w:spacing w:val="0"/>
                <w:position w:val="0"/>
                <w:sz w:val="24"/>
                <w:szCs w:val="24"/>
              </w:rPr>
            </w:pPr>
          </w:p>
        </w:tc>
      </w:tr>
      <w:tr w14:paraId="737A5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0"/>
            <w:vAlign w:val="center"/>
          </w:tcPr>
          <w:p w14:paraId="098271F7">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3</w:t>
            </w:r>
          </w:p>
        </w:tc>
        <w:tc>
          <w:tcPr>
            <w:tcW w:w="4282" w:type="dxa"/>
            <w:noWrap w:val="0"/>
            <w:vAlign w:val="center"/>
          </w:tcPr>
          <w:p w14:paraId="704A6F5A">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color w:val="000000"/>
                <w:spacing w:val="0"/>
                <w:position w:val="0"/>
                <w:sz w:val="24"/>
                <w:szCs w:val="24"/>
              </w:rPr>
            </w:pPr>
          </w:p>
        </w:tc>
        <w:tc>
          <w:tcPr>
            <w:tcW w:w="3047" w:type="dxa"/>
            <w:noWrap w:val="0"/>
            <w:vAlign w:val="center"/>
          </w:tcPr>
          <w:p w14:paraId="5796FA64">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color w:val="000000"/>
                <w:spacing w:val="0"/>
                <w:position w:val="0"/>
                <w:sz w:val="24"/>
                <w:szCs w:val="24"/>
              </w:rPr>
            </w:pPr>
          </w:p>
        </w:tc>
      </w:tr>
      <w:tr w14:paraId="75AFE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4" w:hRule="atLeast"/>
          <w:jc w:val="center"/>
        </w:trPr>
        <w:tc>
          <w:tcPr>
            <w:tcW w:w="959" w:type="dxa"/>
            <w:noWrap w:val="0"/>
            <w:vAlign w:val="center"/>
          </w:tcPr>
          <w:p w14:paraId="588A4C15">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w:t>
            </w:r>
          </w:p>
        </w:tc>
        <w:tc>
          <w:tcPr>
            <w:tcW w:w="4282" w:type="dxa"/>
            <w:noWrap w:val="0"/>
            <w:vAlign w:val="center"/>
          </w:tcPr>
          <w:p w14:paraId="3FFF9B23">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color w:val="000000"/>
                <w:spacing w:val="0"/>
                <w:position w:val="0"/>
                <w:sz w:val="24"/>
                <w:szCs w:val="24"/>
              </w:rPr>
            </w:pPr>
          </w:p>
        </w:tc>
        <w:tc>
          <w:tcPr>
            <w:tcW w:w="3047" w:type="dxa"/>
            <w:noWrap w:val="0"/>
            <w:vAlign w:val="center"/>
          </w:tcPr>
          <w:p w14:paraId="6A78DA52">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color w:val="000000"/>
                <w:spacing w:val="0"/>
                <w:position w:val="0"/>
                <w:sz w:val="24"/>
                <w:szCs w:val="24"/>
              </w:rPr>
            </w:pPr>
          </w:p>
        </w:tc>
      </w:tr>
      <w:tr w14:paraId="4689A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4" w:hRule="atLeast"/>
          <w:jc w:val="center"/>
        </w:trPr>
        <w:tc>
          <w:tcPr>
            <w:tcW w:w="5241" w:type="dxa"/>
            <w:gridSpan w:val="2"/>
            <w:noWrap w:val="0"/>
            <w:vAlign w:val="center"/>
          </w:tcPr>
          <w:p w14:paraId="03CDAD6E">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hint="default" w:eastAsia="宋体" w:cs="Arial"/>
                <w:color w:val="000000"/>
                <w:spacing w:val="0"/>
                <w:position w:val="0"/>
                <w:sz w:val="24"/>
                <w:szCs w:val="24"/>
                <w:lang w:val="en-US" w:eastAsia="zh-CN"/>
              </w:rPr>
            </w:pPr>
            <w:r>
              <w:rPr>
                <w:rFonts w:hint="eastAsia" w:cs="Arial"/>
                <w:color w:val="000000"/>
                <w:spacing w:val="0"/>
                <w:position w:val="0"/>
                <w:sz w:val="24"/>
                <w:szCs w:val="24"/>
                <w:lang w:val="en-US" w:eastAsia="zh-CN"/>
              </w:rPr>
              <w:t>总 价</w:t>
            </w:r>
          </w:p>
        </w:tc>
        <w:tc>
          <w:tcPr>
            <w:tcW w:w="3047" w:type="dxa"/>
            <w:noWrap w:val="0"/>
            <w:vAlign w:val="center"/>
          </w:tcPr>
          <w:p w14:paraId="1A97376B">
            <w:pPr>
              <w:keepNext w:val="0"/>
              <w:keepLines w:val="0"/>
              <w:pageBreakBefore w:val="0"/>
              <w:widowControl w:val="0"/>
              <w:kinsoku/>
              <w:wordWrap/>
              <w:overflowPunct/>
              <w:topLinePunct w:val="0"/>
              <w:autoSpaceDE/>
              <w:autoSpaceDN/>
              <w:bidi w:val="0"/>
              <w:adjustRightInd/>
              <w:snapToGrid/>
              <w:spacing w:line="400" w:lineRule="exact"/>
              <w:ind w:left="0" w:firstLine="0"/>
              <w:jc w:val="center"/>
              <w:textAlignment w:val="auto"/>
              <w:rPr>
                <w:rFonts w:cs="Arial"/>
                <w:color w:val="000000"/>
                <w:spacing w:val="0"/>
                <w:position w:val="0"/>
                <w:sz w:val="24"/>
                <w:szCs w:val="24"/>
              </w:rPr>
            </w:pPr>
          </w:p>
        </w:tc>
      </w:tr>
    </w:tbl>
    <w:p w14:paraId="4D8CBA1F">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0"/>
        <w:rPr>
          <w:rFonts w:ascii="宋体" w:hAnsi="宋体" w:cs="宋体"/>
          <w:color w:val="000000"/>
          <w:spacing w:val="0"/>
          <w:position w:val="0"/>
          <w:sz w:val="24"/>
          <w:szCs w:val="24"/>
        </w:rPr>
      </w:pPr>
      <w:r>
        <w:rPr>
          <w:rFonts w:ascii="宋体" w:hAnsi="宋体" w:cs="宋体"/>
          <w:color w:val="000000"/>
          <w:spacing w:val="0"/>
          <w:position w:val="0"/>
          <w:sz w:val="24"/>
          <w:szCs w:val="24"/>
        </w:rPr>
        <w:t>1.4 付款方式和发票开具方式</w:t>
      </w:r>
    </w:p>
    <w:p w14:paraId="09A6EA95">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color w:val="000000"/>
          <w:spacing w:val="0"/>
          <w:position w:val="0"/>
          <w:sz w:val="24"/>
          <w:szCs w:val="24"/>
        </w:rPr>
      </w:pPr>
      <w:r>
        <w:rPr>
          <w:rFonts w:ascii="宋体" w:hAnsi="宋体" w:cs="宋体"/>
          <w:color w:val="000000"/>
          <w:spacing w:val="0"/>
          <w:position w:val="0"/>
          <w:sz w:val="24"/>
          <w:szCs w:val="24"/>
        </w:rPr>
        <w:t>1.4.1 付款方式</w:t>
      </w:r>
      <w:r>
        <w:rPr>
          <w:rFonts w:ascii="宋体" w:hAnsi="宋体" w:cs="宋体"/>
          <w:color w:val="000000"/>
          <w:spacing w:val="0"/>
          <w:position w:val="0"/>
          <w:sz w:val="24"/>
          <w:szCs w:val="24"/>
          <w:highlight w:val="none"/>
        </w:rPr>
        <w:t>：</w:t>
      </w:r>
      <w:r>
        <w:rPr>
          <w:rFonts w:hint="eastAsia" w:ascii="宋体" w:hAnsi="宋体" w:cs="宋体"/>
          <w:color w:val="000000"/>
          <w:spacing w:val="0"/>
          <w:position w:val="0"/>
          <w:sz w:val="24"/>
          <w:szCs w:val="24"/>
          <w:highlight w:val="none"/>
          <w:lang w:val="en-US" w:eastAsia="zh-CN"/>
        </w:rPr>
        <w:t xml:space="preserve">发包人确定预付款为合同金额的50%，剩余款项待合同服务期满后一次性付清。   </w:t>
      </w:r>
      <w:r>
        <w:rPr>
          <w:rFonts w:hint="eastAsia" w:ascii="宋体" w:hAnsi="宋体" w:cs="宋体"/>
          <w:color w:val="000000"/>
          <w:spacing w:val="0"/>
          <w:position w:val="0"/>
          <w:sz w:val="24"/>
          <w:szCs w:val="24"/>
          <w:lang w:val="en-US" w:eastAsia="zh-CN"/>
        </w:rPr>
        <w:t xml:space="preserve"> </w:t>
      </w:r>
    </w:p>
    <w:p w14:paraId="1A6AF17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1.4.2 发票开具方式：</w:t>
      </w:r>
      <w:r>
        <w:rPr>
          <w:rFonts w:hint="eastAsia" w:ascii="宋体" w:hAnsi="宋体" w:cs="宋体"/>
          <w:color w:val="000000"/>
          <w:spacing w:val="0"/>
          <w:position w:val="0"/>
          <w:sz w:val="24"/>
          <w:szCs w:val="24"/>
          <w:lang w:val="en-US" w:eastAsia="zh-CN"/>
        </w:rPr>
        <w:t>增值税发票</w:t>
      </w:r>
      <w:r>
        <w:rPr>
          <w:rFonts w:ascii="宋体" w:hAnsi="宋体" w:cs="宋体"/>
          <w:color w:val="000000"/>
          <w:spacing w:val="0"/>
          <w:position w:val="0"/>
          <w:sz w:val="24"/>
          <w:szCs w:val="24"/>
        </w:rPr>
        <w:t xml:space="preserve"> </w:t>
      </w:r>
    </w:p>
    <w:p w14:paraId="697886C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0"/>
        <w:rPr>
          <w:rFonts w:ascii="宋体" w:hAnsi="宋体" w:cs="宋体"/>
          <w:color w:val="000000"/>
          <w:spacing w:val="0"/>
          <w:position w:val="0"/>
          <w:sz w:val="24"/>
          <w:szCs w:val="24"/>
        </w:rPr>
      </w:pPr>
      <w:r>
        <w:rPr>
          <w:rFonts w:ascii="宋体" w:hAnsi="宋体" w:cs="宋体"/>
          <w:color w:val="000000"/>
          <w:spacing w:val="0"/>
          <w:position w:val="0"/>
          <w:sz w:val="24"/>
          <w:szCs w:val="24"/>
        </w:rPr>
        <w:t>1.5 服务期限、地点和方式</w:t>
      </w:r>
    </w:p>
    <w:p w14:paraId="335E073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宋体" w:hAnsi="宋体" w:eastAsia="宋体" w:cs="宋体"/>
          <w:color w:val="000000"/>
          <w:spacing w:val="0"/>
          <w:position w:val="0"/>
          <w:sz w:val="24"/>
          <w:szCs w:val="24"/>
          <w:lang w:eastAsia="zh-CN"/>
        </w:rPr>
      </w:pPr>
      <w:r>
        <w:rPr>
          <w:rFonts w:ascii="宋体" w:hAnsi="宋体" w:cs="宋体"/>
          <w:color w:val="000000"/>
          <w:spacing w:val="0"/>
          <w:position w:val="0"/>
          <w:sz w:val="24"/>
          <w:szCs w:val="24"/>
        </w:rPr>
        <w:t>1.5.1 服务期限：</w:t>
      </w:r>
      <w:r>
        <w:rPr>
          <w:rFonts w:hint="eastAsia" w:ascii="宋体" w:hAnsi="宋体" w:cs="宋体"/>
          <w:color w:val="000000"/>
          <w:spacing w:val="0"/>
          <w:position w:val="0"/>
          <w:sz w:val="24"/>
          <w:szCs w:val="24"/>
        </w:rPr>
        <w:t>1年。考核合格后，续签下一年度合同，最多续签2次。</w:t>
      </w:r>
    </w:p>
    <w:p w14:paraId="46C0DDF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default" w:ascii="宋体" w:hAnsi="宋体" w:eastAsia="宋体" w:cs="宋体"/>
          <w:color w:val="000000"/>
          <w:spacing w:val="0"/>
          <w:position w:val="0"/>
          <w:sz w:val="24"/>
          <w:szCs w:val="24"/>
          <w:lang w:val="en-US" w:eastAsia="zh-CN"/>
        </w:rPr>
      </w:pPr>
      <w:r>
        <w:rPr>
          <w:rFonts w:ascii="宋体" w:hAnsi="宋体" w:cs="宋体"/>
          <w:color w:val="000000"/>
          <w:spacing w:val="0"/>
          <w:position w:val="0"/>
          <w:sz w:val="24"/>
          <w:szCs w:val="24"/>
        </w:rPr>
        <w:t>1.5.2 服务地点：</w:t>
      </w:r>
      <w:r>
        <w:rPr>
          <w:rFonts w:hint="eastAsia" w:ascii="宋体" w:hAnsi="宋体" w:cs="宋体"/>
          <w:color w:val="000000"/>
          <w:spacing w:val="0"/>
          <w:position w:val="0"/>
          <w:sz w:val="24"/>
          <w:szCs w:val="24"/>
          <w:lang w:val="en-US" w:eastAsia="zh-CN"/>
        </w:rPr>
        <w:t>发包人指定地点；</w:t>
      </w:r>
    </w:p>
    <w:p w14:paraId="67CA2CA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default" w:ascii="宋体" w:hAnsi="宋体" w:eastAsia="宋体" w:cs="宋体"/>
          <w:color w:val="000000"/>
          <w:spacing w:val="0"/>
          <w:position w:val="0"/>
          <w:sz w:val="24"/>
          <w:szCs w:val="24"/>
          <w:lang w:val="en-US" w:eastAsia="zh-CN"/>
        </w:rPr>
      </w:pPr>
      <w:r>
        <w:rPr>
          <w:rFonts w:ascii="宋体" w:hAnsi="宋体" w:cs="宋体"/>
          <w:color w:val="000000"/>
          <w:spacing w:val="0"/>
          <w:position w:val="0"/>
          <w:sz w:val="24"/>
          <w:szCs w:val="24"/>
        </w:rPr>
        <w:t>1.5.3 服务方式：</w:t>
      </w:r>
      <w:r>
        <w:rPr>
          <w:rFonts w:hint="eastAsia" w:ascii="宋体" w:hAnsi="宋体" w:cs="宋体"/>
          <w:color w:val="000000"/>
          <w:spacing w:val="0"/>
          <w:position w:val="0"/>
          <w:sz w:val="24"/>
          <w:szCs w:val="24"/>
          <w:lang w:val="en-US" w:eastAsia="zh-CN"/>
        </w:rPr>
        <w:t>现场服务。</w:t>
      </w:r>
    </w:p>
    <w:p w14:paraId="10FA71F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0"/>
        <w:rPr>
          <w:rFonts w:ascii="宋体" w:hAnsi="宋体" w:cs="宋体"/>
          <w:color w:val="000000"/>
          <w:spacing w:val="0"/>
          <w:position w:val="0"/>
          <w:sz w:val="24"/>
          <w:szCs w:val="24"/>
        </w:rPr>
      </w:pPr>
      <w:r>
        <w:rPr>
          <w:rFonts w:ascii="宋体" w:hAnsi="宋体" w:cs="宋体"/>
          <w:color w:val="000000"/>
          <w:spacing w:val="0"/>
          <w:position w:val="0"/>
          <w:sz w:val="24"/>
          <w:szCs w:val="24"/>
        </w:rPr>
        <w:t>1.6 违约责任</w:t>
      </w:r>
    </w:p>
    <w:p w14:paraId="3EEBFDB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1.6.1 除不可抗力外，如果乙方没有按照本合同约定的期限、地点和方式履行，那么甲方可要求乙方支付违约金，违约金按每迟延履行一日的应提供而未提供服务价格的</w:t>
      </w:r>
      <w:r>
        <w:rPr>
          <w:rFonts w:hint="eastAsia" w:ascii="宋体" w:hAnsi="宋体" w:cs="宋体"/>
          <w:color w:val="000000"/>
          <w:spacing w:val="0"/>
          <w:position w:val="0"/>
          <w:sz w:val="24"/>
          <w:szCs w:val="24"/>
          <w:u w:val="single"/>
        </w:rPr>
        <w:t xml:space="preserve"> </w:t>
      </w:r>
      <w:r>
        <w:rPr>
          <w:rFonts w:hint="eastAsia" w:ascii="宋体" w:hAnsi="宋体" w:cs="宋体"/>
          <w:color w:val="000000"/>
          <w:spacing w:val="0"/>
          <w:position w:val="0"/>
          <w:sz w:val="24"/>
          <w:szCs w:val="24"/>
          <w:u w:val="single"/>
          <w:lang w:val="en-US" w:eastAsia="zh-CN"/>
        </w:rPr>
        <w:t>0.5</w:t>
      </w:r>
      <w:r>
        <w:rPr>
          <w:rFonts w:hint="eastAsia" w:ascii="宋体" w:hAnsi="宋体" w:cs="宋体"/>
          <w:color w:val="000000"/>
          <w:spacing w:val="0"/>
          <w:position w:val="0"/>
          <w:sz w:val="24"/>
          <w:szCs w:val="24"/>
          <w:u w:val="single"/>
        </w:rPr>
        <w:t xml:space="preserve"> </w:t>
      </w:r>
      <w:r>
        <w:rPr>
          <w:rFonts w:ascii="宋体" w:hAnsi="宋体" w:cs="宋体"/>
          <w:color w:val="000000"/>
          <w:spacing w:val="0"/>
          <w:position w:val="0"/>
          <w:sz w:val="24"/>
          <w:szCs w:val="24"/>
        </w:rPr>
        <w:t>%计算，最高限额为本合同总价的</w:t>
      </w:r>
      <w:r>
        <w:rPr>
          <w:rFonts w:hint="eastAsia" w:ascii="宋体" w:hAnsi="宋体" w:cs="宋体"/>
          <w:color w:val="000000"/>
          <w:spacing w:val="0"/>
          <w:position w:val="0"/>
          <w:sz w:val="24"/>
          <w:szCs w:val="24"/>
          <w:u w:val="single"/>
        </w:rPr>
        <w:t xml:space="preserve"> </w:t>
      </w:r>
      <w:r>
        <w:rPr>
          <w:rFonts w:hint="eastAsia" w:ascii="宋体" w:hAnsi="宋体" w:cs="宋体"/>
          <w:color w:val="000000"/>
          <w:spacing w:val="0"/>
          <w:position w:val="0"/>
          <w:sz w:val="24"/>
          <w:szCs w:val="24"/>
          <w:u w:val="single"/>
          <w:lang w:val="en-US" w:eastAsia="zh-CN"/>
        </w:rPr>
        <w:t>5</w:t>
      </w:r>
      <w:r>
        <w:rPr>
          <w:rFonts w:hint="eastAsia" w:ascii="宋体" w:hAnsi="宋体" w:cs="宋体"/>
          <w:color w:val="000000"/>
          <w:spacing w:val="0"/>
          <w:position w:val="0"/>
          <w:sz w:val="24"/>
          <w:szCs w:val="24"/>
          <w:u w:val="single"/>
        </w:rPr>
        <w:t xml:space="preserve"> </w:t>
      </w:r>
      <w:r>
        <w:rPr>
          <w:rFonts w:ascii="宋体" w:hAnsi="宋体" w:cs="宋体"/>
          <w:color w:val="000000"/>
          <w:spacing w:val="0"/>
          <w:position w:val="0"/>
          <w:sz w:val="24"/>
          <w:szCs w:val="24"/>
        </w:rPr>
        <w:t>%；迟延履行的违约金计算数额达到前述最高限额之日起，甲方有权在要求乙方支付违约金的同时，书面通知乙方解除本合同；</w:t>
      </w:r>
    </w:p>
    <w:p w14:paraId="1DDC757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1.6.2 除不可抗力外，如果甲方没有按照本合同约定的付款方式付款，那么乙方可要求甲方支付违约金，违约金按每迟延付款一日的应付而未付款的</w:t>
      </w:r>
      <w:r>
        <w:rPr>
          <w:rFonts w:hint="eastAsia" w:ascii="宋体" w:hAnsi="宋体" w:cs="宋体"/>
          <w:color w:val="000000"/>
          <w:spacing w:val="0"/>
          <w:position w:val="0"/>
          <w:sz w:val="24"/>
          <w:szCs w:val="24"/>
          <w:u w:val="single"/>
        </w:rPr>
        <w:t xml:space="preserve"> </w:t>
      </w:r>
      <w:r>
        <w:rPr>
          <w:rFonts w:hint="eastAsia" w:ascii="宋体" w:hAnsi="宋体" w:cs="宋体"/>
          <w:color w:val="000000"/>
          <w:spacing w:val="0"/>
          <w:position w:val="0"/>
          <w:sz w:val="24"/>
          <w:szCs w:val="24"/>
          <w:u w:val="single"/>
          <w:lang w:val="en-US" w:eastAsia="zh-CN"/>
        </w:rPr>
        <w:t>0.5</w:t>
      </w:r>
      <w:r>
        <w:rPr>
          <w:rFonts w:hint="eastAsia" w:ascii="宋体" w:hAnsi="宋体" w:cs="宋体"/>
          <w:color w:val="000000"/>
          <w:spacing w:val="0"/>
          <w:position w:val="0"/>
          <w:sz w:val="24"/>
          <w:szCs w:val="24"/>
          <w:u w:val="single"/>
        </w:rPr>
        <w:t xml:space="preserve"> </w:t>
      </w:r>
      <w:r>
        <w:rPr>
          <w:rFonts w:ascii="宋体" w:hAnsi="宋体" w:cs="宋体"/>
          <w:color w:val="000000"/>
          <w:spacing w:val="0"/>
          <w:position w:val="0"/>
          <w:sz w:val="24"/>
          <w:szCs w:val="24"/>
        </w:rPr>
        <w:t>%计算，最高限额为本合同总价的</w:t>
      </w:r>
      <w:r>
        <w:rPr>
          <w:rFonts w:hint="eastAsia" w:ascii="宋体" w:hAnsi="宋体" w:cs="宋体"/>
          <w:color w:val="000000"/>
          <w:spacing w:val="0"/>
          <w:position w:val="0"/>
          <w:sz w:val="24"/>
          <w:szCs w:val="24"/>
          <w:u w:val="single"/>
        </w:rPr>
        <w:t xml:space="preserve"> </w:t>
      </w:r>
      <w:r>
        <w:rPr>
          <w:rFonts w:hint="eastAsia" w:ascii="宋体" w:hAnsi="宋体" w:cs="宋体"/>
          <w:color w:val="000000"/>
          <w:spacing w:val="0"/>
          <w:position w:val="0"/>
          <w:sz w:val="24"/>
          <w:szCs w:val="24"/>
          <w:u w:val="single"/>
          <w:lang w:val="en-US" w:eastAsia="zh-CN"/>
        </w:rPr>
        <w:t>5</w:t>
      </w:r>
      <w:r>
        <w:rPr>
          <w:rFonts w:hint="eastAsia" w:ascii="宋体" w:hAnsi="宋体" w:cs="宋体"/>
          <w:color w:val="000000"/>
          <w:spacing w:val="0"/>
          <w:position w:val="0"/>
          <w:sz w:val="24"/>
          <w:szCs w:val="24"/>
          <w:u w:val="single"/>
        </w:rPr>
        <w:t xml:space="preserve"> </w:t>
      </w:r>
      <w:r>
        <w:rPr>
          <w:rFonts w:ascii="宋体" w:hAnsi="宋体" w:cs="宋体"/>
          <w:color w:val="000000"/>
          <w:spacing w:val="0"/>
          <w:position w:val="0"/>
          <w:sz w:val="24"/>
          <w:szCs w:val="24"/>
        </w:rPr>
        <w:t>%；迟延付款的违约金计算数额达到前述最高限额之日起，乙方有权在要求甲方支付违约金的同时，书面通知甲方解除本合同；</w:t>
      </w:r>
    </w:p>
    <w:p w14:paraId="27D4BACD">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9C28872">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7EE8BC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color w:val="000000"/>
          <w:spacing w:val="0"/>
          <w:position w:val="0"/>
          <w:sz w:val="24"/>
          <w:szCs w:val="24"/>
        </w:rPr>
      </w:pPr>
      <w:r>
        <w:rPr>
          <w:rFonts w:ascii="宋体" w:hAnsi="宋体" w:cs="宋体"/>
          <w:color w:val="000000"/>
          <w:spacing w:val="0"/>
          <w:position w:val="0"/>
          <w:sz w:val="24"/>
          <w:szCs w:val="24"/>
        </w:rPr>
        <w:t>1.6.5 除前述约定外， 除不可抗力外</w:t>
      </w:r>
      <w:r>
        <w:rPr>
          <w:rFonts w:hint="eastAsia" w:ascii="宋体" w:hAnsi="宋体" w:cs="宋体"/>
          <w:color w:val="000000"/>
          <w:spacing w:val="0"/>
          <w:position w:val="0"/>
          <w:sz w:val="24"/>
          <w:szCs w:val="24"/>
        </w:rPr>
        <w:t>，</w:t>
      </w:r>
      <w:r>
        <w:rPr>
          <w:rFonts w:ascii="宋体" w:hAnsi="宋体" w:cs="宋体"/>
          <w:color w:val="000000"/>
          <w:spacing w:val="0"/>
          <w:position w:val="0"/>
          <w:sz w:val="24"/>
          <w:szCs w:val="24"/>
        </w:rPr>
        <w:t>任何一方未能履行本合同约定的义务，对方当事人均有权要求继续履行、采取补救措施或者赔偿损失等，且对方当事人行使的任何权利救济方式均不视为其放弃了其他法定或者约定的权利救济方式；</w:t>
      </w:r>
    </w:p>
    <w:p w14:paraId="2E84DC7F">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1.6.6 如果出现政府采购监督管理部门在处理投诉事项期间，书面通知甲方暂停采购活动的情形，或者询问或质疑事项可能影响成交结果的，导致甲方中止履行合同的情形，均不视为甲方违约。</w:t>
      </w:r>
    </w:p>
    <w:p w14:paraId="1AF50DB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0"/>
        <w:rPr>
          <w:rFonts w:ascii="宋体" w:hAnsi="宋体" w:cs="宋体"/>
          <w:color w:val="000000"/>
          <w:spacing w:val="0"/>
          <w:position w:val="0"/>
          <w:sz w:val="24"/>
          <w:szCs w:val="24"/>
        </w:rPr>
      </w:pPr>
      <w:r>
        <w:rPr>
          <w:rFonts w:ascii="宋体" w:hAnsi="宋体" w:cs="宋体"/>
          <w:color w:val="000000"/>
          <w:spacing w:val="0"/>
          <w:position w:val="0"/>
          <w:sz w:val="24"/>
          <w:szCs w:val="24"/>
        </w:rPr>
        <w:t>1.7 合同争议的解决</w:t>
      </w:r>
    </w:p>
    <w:p w14:paraId="01FDA75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本合同履行过程中发生的任何争议，双方当事人均可通过和解或者调解解决； 不愿和解、调解或者和解、调解不成的，可以选择下列</w:t>
      </w:r>
      <w:r>
        <w:rPr>
          <w:rFonts w:hint="eastAsia" w:ascii="宋体" w:hAnsi="宋体" w:cs="宋体"/>
          <w:color w:val="000000"/>
          <w:spacing w:val="0"/>
          <w:position w:val="0"/>
          <w:sz w:val="24"/>
          <w:szCs w:val="24"/>
          <w:u w:val="single"/>
        </w:rPr>
        <w:t xml:space="preserve"> </w:t>
      </w:r>
      <w:r>
        <w:rPr>
          <w:rFonts w:hint="eastAsia" w:ascii="宋体" w:hAnsi="宋体" w:cs="宋体"/>
          <w:color w:val="000000"/>
          <w:spacing w:val="0"/>
          <w:position w:val="0"/>
          <w:sz w:val="24"/>
          <w:szCs w:val="24"/>
          <w:u w:val="single"/>
          <w:lang w:val="en-US" w:eastAsia="zh-CN"/>
        </w:rPr>
        <w:t>1.7.2</w:t>
      </w:r>
      <w:r>
        <w:rPr>
          <w:rFonts w:hint="eastAsia" w:ascii="宋体" w:hAnsi="宋体" w:cs="宋体"/>
          <w:color w:val="000000"/>
          <w:spacing w:val="0"/>
          <w:position w:val="0"/>
          <w:sz w:val="24"/>
          <w:szCs w:val="24"/>
          <w:u w:val="single"/>
        </w:rPr>
        <w:t xml:space="preserve"> </w:t>
      </w:r>
      <w:r>
        <w:rPr>
          <w:rFonts w:ascii="宋体" w:hAnsi="宋体" w:cs="宋体"/>
          <w:color w:val="000000"/>
          <w:spacing w:val="0"/>
          <w:position w:val="0"/>
          <w:sz w:val="24"/>
          <w:szCs w:val="24"/>
        </w:rPr>
        <w:t>种方式解决：</w:t>
      </w:r>
    </w:p>
    <w:p w14:paraId="1FDEB53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1.7.1 将争议提交仲裁委员会依申请仲裁时其现行有效的仲裁规则裁决；</w:t>
      </w:r>
    </w:p>
    <w:p w14:paraId="7A0EF7CD">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cs="宋体"/>
          <w:color w:val="000000"/>
          <w:spacing w:val="0"/>
          <w:position w:val="0"/>
          <w:sz w:val="24"/>
          <w:szCs w:val="24"/>
        </w:rPr>
      </w:pPr>
      <w:r>
        <w:rPr>
          <w:rFonts w:ascii="宋体" w:hAnsi="宋体" w:cs="宋体"/>
          <w:color w:val="000000"/>
          <w:spacing w:val="0"/>
          <w:position w:val="0"/>
          <w:sz w:val="24"/>
          <w:szCs w:val="24"/>
        </w:rPr>
        <w:t>1.7.2 向</w:t>
      </w:r>
      <w:r>
        <w:rPr>
          <w:rFonts w:hint="eastAsia" w:ascii="宋体" w:hAnsi="宋体" w:cs="宋体"/>
          <w:color w:val="000000"/>
          <w:spacing w:val="0"/>
          <w:position w:val="0"/>
          <w:sz w:val="24"/>
          <w:szCs w:val="24"/>
          <w:u w:val="single"/>
        </w:rPr>
        <w:t xml:space="preserve"> </w:t>
      </w:r>
      <w:r>
        <w:rPr>
          <w:rFonts w:hint="eastAsia" w:ascii="宋体" w:hAnsi="宋体" w:cs="宋体"/>
          <w:color w:val="000000"/>
          <w:spacing w:val="0"/>
          <w:position w:val="0"/>
          <w:sz w:val="24"/>
          <w:szCs w:val="24"/>
          <w:u w:val="single"/>
          <w:lang w:val="en-US" w:eastAsia="zh-CN"/>
        </w:rPr>
        <w:t>项目所在地</w:t>
      </w:r>
      <w:r>
        <w:rPr>
          <w:rFonts w:hint="eastAsia" w:ascii="宋体" w:hAnsi="宋体" w:cs="宋体"/>
          <w:color w:val="000000"/>
          <w:spacing w:val="0"/>
          <w:position w:val="0"/>
          <w:sz w:val="24"/>
          <w:szCs w:val="24"/>
          <w:u w:val="single"/>
        </w:rPr>
        <w:t xml:space="preserve"> </w:t>
      </w:r>
      <w:r>
        <w:rPr>
          <w:rFonts w:ascii="宋体" w:hAnsi="宋体" w:cs="宋体"/>
          <w:color w:val="000000"/>
          <w:spacing w:val="0"/>
          <w:position w:val="0"/>
          <w:sz w:val="24"/>
          <w:szCs w:val="24"/>
        </w:rPr>
        <w:t>人民法院起诉。</w:t>
      </w:r>
    </w:p>
    <w:p w14:paraId="49B991CF">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eastAsia="宋体" w:cs="宋体"/>
          <w:color w:val="000000"/>
          <w:spacing w:val="0"/>
          <w:position w:val="0"/>
          <w:sz w:val="24"/>
          <w:szCs w:val="24"/>
        </w:rPr>
      </w:pPr>
      <w:r>
        <w:rPr>
          <w:rFonts w:ascii="宋体" w:hAnsi="宋体" w:cs="宋体"/>
          <w:color w:val="000000"/>
          <w:spacing w:val="0"/>
          <w:position w:val="0"/>
          <w:sz w:val="24"/>
          <w:szCs w:val="24"/>
        </w:rPr>
        <w:t>1.8</w:t>
      </w:r>
      <w:r>
        <w:rPr>
          <w:rFonts w:ascii="宋体" w:hAnsi="宋体" w:eastAsia="宋体" w:cs="宋体"/>
          <w:color w:val="000000"/>
          <w:spacing w:val="0"/>
          <w:position w:val="0"/>
          <w:sz w:val="24"/>
          <w:szCs w:val="24"/>
        </w:rPr>
        <w:t xml:space="preserve"> 合同生效</w:t>
      </w:r>
    </w:p>
    <w:p w14:paraId="309F45DA">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宋体" w:hAnsi="宋体" w:eastAsia="宋体" w:cs="宋体"/>
          <w:color w:val="000000"/>
          <w:spacing w:val="0"/>
          <w:position w:val="0"/>
          <w:sz w:val="24"/>
          <w:szCs w:val="24"/>
        </w:rPr>
      </w:pPr>
      <w:r>
        <w:rPr>
          <w:rFonts w:ascii="宋体" w:hAnsi="宋体" w:eastAsia="宋体" w:cs="宋体"/>
          <w:color w:val="000000"/>
          <w:spacing w:val="0"/>
          <w:position w:val="0"/>
          <w:sz w:val="24"/>
          <w:szCs w:val="24"/>
        </w:rPr>
        <w:t>本合同自双方当事人盖章时生效。</w:t>
      </w:r>
    </w:p>
    <w:p w14:paraId="6B58E4F0">
      <w:pPr>
        <w:spacing w:line="272" w:lineRule="auto"/>
        <w:rPr>
          <w:color w:val="000000"/>
          <w:spacing w:val="0"/>
          <w:position w:val="0"/>
        </w:rPr>
      </w:pPr>
    </w:p>
    <w:p w14:paraId="033553F2">
      <w:pPr>
        <w:rPr>
          <w:color w:val="000000"/>
          <w:spacing w:val="0"/>
          <w:position w:val="0"/>
        </w:rPr>
      </w:pPr>
      <w:r>
        <w:rPr>
          <w:color w:val="000000"/>
          <w:spacing w:val="0"/>
          <w:position w:val="0"/>
        </w:rPr>
        <w:br w:type="page"/>
      </w:r>
    </w:p>
    <w:p w14:paraId="5D4DB83F">
      <w:pPr>
        <w:pStyle w:val="22"/>
        <w:ind w:left="0" w:leftChars="0" w:firstLine="0" w:firstLineChars="0"/>
        <w:rPr>
          <w:rFonts w:hint="eastAsia" w:ascii="宋体" w:hAnsi="宋体" w:eastAsia="宋体" w:cs="宋体"/>
          <w:b w:val="0"/>
          <w:bCs w:val="0"/>
          <w:color w:val="000000"/>
          <w:lang w:eastAsia="zh-CN"/>
        </w:rPr>
      </w:pPr>
    </w:p>
    <w:p w14:paraId="7522463C">
      <w:pPr>
        <w:pStyle w:val="22"/>
        <w:ind w:left="0" w:leftChars="0" w:firstLine="0" w:firstLineChars="0"/>
        <w:rPr>
          <w:rFonts w:hint="eastAsia" w:ascii="宋体" w:hAnsi="宋体" w:eastAsia="宋体" w:cs="宋体"/>
          <w:b w:val="0"/>
          <w:bCs w:val="0"/>
          <w:color w:val="000000"/>
          <w:lang w:eastAsia="zh-CN"/>
        </w:rPr>
      </w:pPr>
      <w:r>
        <w:rPr>
          <w:rFonts w:hint="eastAsia" w:ascii="宋体" w:hAnsi="宋体" w:eastAsia="宋体" w:cs="宋体"/>
          <w:b w:val="0"/>
          <w:bCs w:val="0"/>
          <w:color w:val="000000"/>
          <w:lang w:eastAsia="zh-CN"/>
        </w:rPr>
        <w:t>（签字盖章页）</w:t>
      </w:r>
    </w:p>
    <w:p w14:paraId="67134B6C">
      <w:pPr>
        <w:pStyle w:val="22"/>
        <w:ind w:left="0" w:leftChars="0" w:firstLine="0" w:firstLineChars="0"/>
        <w:rPr>
          <w:rFonts w:hint="eastAsia" w:ascii="宋体" w:hAnsi="宋体" w:eastAsia="宋体" w:cs="宋体"/>
          <w:b w:val="0"/>
          <w:bCs w:val="0"/>
          <w:color w:val="000000"/>
          <w:lang w:eastAsia="zh-CN"/>
        </w:rPr>
      </w:pPr>
    </w:p>
    <w:tbl>
      <w:tblPr>
        <w:tblStyle w:val="24"/>
        <w:tblW w:w="8388" w:type="dxa"/>
        <w:jc w:val="center"/>
        <w:tblLayout w:type="fixed"/>
        <w:tblCellMar>
          <w:top w:w="0" w:type="dxa"/>
          <w:left w:w="108" w:type="dxa"/>
          <w:bottom w:w="0" w:type="dxa"/>
          <w:right w:w="108" w:type="dxa"/>
        </w:tblCellMar>
      </w:tblPr>
      <w:tblGrid>
        <w:gridCol w:w="8388"/>
      </w:tblGrid>
      <w:tr w14:paraId="7826FC4B">
        <w:tblPrEx>
          <w:tblCellMar>
            <w:top w:w="0" w:type="dxa"/>
            <w:left w:w="108" w:type="dxa"/>
            <w:bottom w:w="0" w:type="dxa"/>
            <w:right w:w="108" w:type="dxa"/>
          </w:tblCellMar>
        </w:tblPrEx>
        <w:trPr>
          <w:trHeight w:val="608" w:hRule="atLeast"/>
          <w:jc w:val="center"/>
        </w:trPr>
        <w:tc>
          <w:tcPr>
            <w:tcW w:w="8388" w:type="dxa"/>
            <w:noWrap w:val="0"/>
            <w:vAlign w:val="center"/>
          </w:tcPr>
          <w:p w14:paraId="45244473">
            <w:pPr>
              <w:spacing w:before="156" w:beforeAutospacing="0" w:after="93" w:afterAutospacing="0" w:line="440" w:lineRule="exact"/>
              <w:rPr>
                <w:rFonts w:hint="default" w:ascii="宋体" w:hAnsi="宋体" w:eastAsia="黑体" w:cs="宋体"/>
                <w:color w:val="000000"/>
                <w:sz w:val="24"/>
                <w:szCs w:val="24"/>
                <w:u w:val="single"/>
                <w:lang w:val="en-US" w:eastAsia="zh-CN"/>
              </w:rPr>
            </w:pPr>
            <w:r>
              <w:rPr>
                <w:rFonts w:hint="eastAsia" w:ascii="黑体" w:hAnsi="黑体" w:eastAsia="黑体" w:cs="黑体"/>
                <w:color w:val="000000"/>
                <w:sz w:val="24"/>
                <w:szCs w:val="24"/>
              </w:rPr>
              <w:t>甲方</w:t>
            </w:r>
            <w:r>
              <w:rPr>
                <w:rFonts w:hint="eastAsia" w:ascii="黑体" w:hAnsi="黑体" w:eastAsia="黑体" w:cs="黑体"/>
                <w:color w:val="000000"/>
                <w:sz w:val="24"/>
                <w:szCs w:val="24"/>
                <w:lang w:eastAsia="zh-CN"/>
              </w:rPr>
              <w:t>（</w:t>
            </w:r>
            <w:r>
              <w:rPr>
                <w:rFonts w:hint="eastAsia" w:ascii="宋体" w:hAnsi="宋体" w:eastAsia="宋体" w:cs="宋体"/>
                <w:color w:val="000000"/>
                <w:sz w:val="24"/>
                <w:szCs w:val="24"/>
              </w:rPr>
              <w:t>盖章</w:t>
            </w:r>
            <w:r>
              <w:rPr>
                <w:rFonts w:hint="eastAsia" w:ascii="黑体" w:hAnsi="黑体" w:eastAsia="黑体" w:cs="黑体"/>
                <w:color w:val="000000"/>
                <w:sz w:val="24"/>
                <w:szCs w:val="24"/>
                <w:lang w:eastAsia="zh-CN"/>
              </w:rPr>
              <w:t>）</w:t>
            </w:r>
            <w:r>
              <w:rPr>
                <w:rFonts w:hint="eastAsia" w:ascii="黑体" w:hAnsi="黑体" w:eastAsia="黑体" w:cs="黑体"/>
                <w:color w:val="000000"/>
                <w:sz w:val="24"/>
                <w:szCs w:val="24"/>
              </w:rPr>
              <w:t>：</w:t>
            </w:r>
            <w:r>
              <w:rPr>
                <w:rFonts w:hint="eastAsia" w:ascii="黑体" w:hAnsi="黑体" w:eastAsia="黑体" w:cs="黑体"/>
                <w:color w:val="000000"/>
                <w:sz w:val="24"/>
                <w:szCs w:val="24"/>
                <w:u w:val="single"/>
                <w:lang w:val="en-US" w:eastAsia="zh-CN"/>
              </w:rPr>
              <w:t xml:space="preserve"> </w:t>
            </w:r>
          </w:p>
        </w:tc>
      </w:tr>
      <w:tr w14:paraId="0213E70B">
        <w:tblPrEx>
          <w:tblCellMar>
            <w:top w:w="0" w:type="dxa"/>
            <w:left w:w="108" w:type="dxa"/>
            <w:bottom w:w="0" w:type="dxa"/>
            <w:right w:w="108" w:type="dxa"/>
          </w:tblCellMar>
        </w:tblPrEx>
        <w:trPr>
          <w:jc w:val="center"/>
        </w:trPr>
        <w:tc>
          <w:tcPr>
            <w:tcW w:w="8388" w:type="dxa"/>
            <w:noWrap w:val="0"/>
            <w:vAlign w:val="center"/>
          </w:tcPr>
          <w:p w14:paraId="076CCA74">
            <w:pPr>
              <w:spacing w:before="156" w:beforeAutospacing="0" w:after="93" w:afterAutospacing="0"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法定代表人</w:t>
            </w:r>
          </w:p>
          <w:p w14:paraId="687478E2">
            <w:pPr>
              <w:spacing w:before="156" w:beforeAutospacing="0" w:after="93" w:afterAutospacing="0" w:line="440" w:lineRule="exac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或</w:t>
            </w:r>
            <w:r>
              <w:rPr>
                <w:rFonts w:hint="eastAsia" w:ascii="宋体" w:hAnsi="宋体" w:eastAsia="宋体" w:cs="宋体"/>
                <w:color w:val="000000"/>
                <w:sz w:val="24"/>
                <w:szCs w:val="24"/>
              </w:rPr>
              <w:t>授权代表签字：</w:t>
            </w:r>
          </w:p>
        </w:tc>
      </w:tr>
      <w:tr w14:paraId="64F0E44E">
        <w:tblPrEx>
          <w:tblCellMar>
            <w:top w:w="0" w:type="dxa"/>
            <w:left w:w="108" w:type="dxa"/>
            <w:bottom w:w="0" w:type="dxa"/>
            <w:right w:w="108" w:type="dxa"/>
          </w:tblCellMar>
        </w:tblPrEx>
        <w:trPr>
          <w:trHeight w:val="636" w:hRule="atLeast"/>
          <w:jc w:val="center"/>
        </w:trPr>
        <w:tc>
          <w:tcPr>
            <w:tcW w:w="8388" w:type="dxa"/>
            <w:noWrap w:val="0"/>
            <w:vAlign w:val="center"/>
          </w:tcPr>
          <w:p w14:paraId="3991E3C6">
            <w:pPr>
              <w:spacing w:before="156" w:beforeAutospacing="0" w:after="93" w:afterAutospacing="0" w:line="44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年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日</w:t>
            </w:r>
          </w:p>
        </w:tc>
      </w:tr>
      <w:tr w14:paraId="0F67377B">
        <w:tblPrEx>
          <w:tblCellMar>
            <w:top w:w="0" w:type="dxa"/>
            <w:left w:w="108" w:type="dxa"/>
            <w:bottom w:w="0" w:type="dxa"/>
            <w:right w:w="108" w:type="dxa"/>
          </w:tblCellMar>
        </w:tblPrEx>
        <w:trPr>
          <w:trHeight w:val="636" w:hRule="atLeast"/>
          <w:jc w:val="center"/>
        </w:trPr>
        <w:tc>
          <w:tcPr>
            <w:tcW w:w="8388" w:type="dxa"/>
            <w:noWrap w:val="0"/>
            <w:vAlign w:val="center"/>
          </w:tcPr>
          <w:p w14:paraId="396A23B2">
            <w:pPr>
              <w:spacing w:before="156" w:beforeAutospacing="0" w:after="93" w:afterAutospacing="0" w:line="440" w:lineRule="exact"/>
              <w:rPr>
                <w:rFonts w:hint="eastAsia" w:ascii="宋体" w:hAnsi="宋体" w:eastAsia="宋体" w:cs="宋体"/>
                <w:color w:val="000000"/>
                <w:sz w:val="24"/>
                <w:szCs w:val="24"/>
              </w:rPr>
            </w:pPr>
          </w:p>
        </w:tc>
      </w:tr>
      <w:tr w14:paraId="054C772C">
        <w:tblPrEx>
          <w:tblCellMar>
            <w:top w:w="0" w:type="dxa"/>
            <w:left w:w="108" w:type="dxa"/>
            <w:bottom w:w="0" w:type="dxa"/>
            <w:right w:w="108" w:type="dxa"/>
          </w:tblCellMar>
        </w:tblPrEx>
        <w:trPr>
          <w:trHeight w:val="636" w:hRule="atLeast"/>
          <w:jc w:val="center"/>
        </w:trPr>
        <w:tc>
          <w:tcPr>
            <w:tcW w:w="8388" w:type="dxa"/>
            <w:noWrap w:val="0"/>
            <w:vAlign w:val="center"/>
          </w:tcPr>
          <w:p w14:paraId="07096AC6">
            <w:pPr>
              <w:spacing w:before="156" w:beforeAutospacing="0" w:after="93" w:afterAutospacing="0" w:line="440" w:lineRule="exact"/>
              <w:rPr>
                <w:rFonts w:hint="eastAsia" w:ascii="黑体" w:hAnsi="黑体" w:eastAsia="黑体" w:cs="黑体"/>
                <w:color w:val="000000"/>
                <w:sz w:val="24"/>
                <w:szCs w:val="24"/>
              </w:rPr>
            </w:pPr>
            <w:r>
              <w:rPr>
                <w:rFonts w:hint="eastAsia" w:ascii="黑体" w:hAnsi="黑体" w:eastAsia="黑体" w:cs="黑体"/>
                <w:color w:val="000000"/>
                <w:sz w:val="24"/>
                <w:szCs w:val="24"/>
              </w:rPr>
              <w:t>乙方</w:t>
            </w:r>
            <w:r>
              <w:rPr>
                <w:rFonts w:hint="eastAsia" w:ascii="黑体" w:hAnsi="黑体" w:eastAsia="黑体" w:cs="黑体"/>
                <w:color w:val="000000"/>
                <w:sz w:val="24"/>
                <w:szCs w:val="24"/>
                <w:lang w:eastAsia="zh-CN"/>
              </w:rPr>
              <w:t>（</w:t>
            </w:r>
            <w:r>
              <w:rPr>
                <w:rFonts w:hint="eastAsia" w:ascii="宋体" w:hAnsi="宋体" w:eastAsia="宋体" w:cs="宋体"/>
                <w:color w:val="000000"/>
                <w:sz w:val="24"/>
                <w:szCs w:val="24"/>
              </w:rPr>
              <w:t>盖章</w:t>
            </w:r>
            <w:r>
              <w:rPr>
                <w:rFonts w:hint="eastAsia" w:ascii="黑体" w:hAnsi="黑体" w:eastAsia="黑体" w:cs="黑体"/>
                <w:color w:val="000000"/>
                <w:sz w:val="24"/>
                <w:szCs w:val="24"/>
                <w:lang w:eastAsia="zh-CN"/>
              </w:rPr>
              <w:t>）</w:t>
            </w:r>
            <w:r>
              <w:rPr>
                <w:rFonts w:hint="eastAsia" w:ascii="黑体" w:hAnsi="黑体" w:eastAsia="黑体" w:cs="黑体"/>
                <w:color w:val="000000"/>
                <w:sz w:val="24"/>
                <w:szCs w:val="24"/>
              </w:rPr>
              <w:t>：</w:t>
            </w:r>
            <w:r>
              <w:rPr>
                <w:rFonts w:hint="eastAsia" w:ascii="黑体" w:hAnsi="黑体" w:eastAsia="黑体" w:cs="黑体"/>
                <w:color w:val="000000"/>
                <w:sz w:val="24"/>
                <w:szCs w:val="24"/>
                <w:u w:val="single"/>
                <w:lang w:val="en-US" w:eastAsia="zh-CN"/>
              </w:rPr>
              <w:t xml:space="preserve">             </w:t>
            </w:r>
            <w:r>
              <w:rPr>
                <w:rFonts w:hint="eastAsia" w:ascii="黑体" w:hAnsi="黑体" w:eastAsia="黑体" w:cs="黑体"/>
                <w:color w:val="000000"/>
                <w:sz w:val="24"/>
                <w:szCs w:val="24"/>
              </w:rPr>
              <w:t xml:space="preserve">   </w:t>
            </w:r>
          </w:p>
        </w:tc>
      </w:tr>
      <w:tr w14:paraId="1208638A">
        <w:tblPrEx>
          <w:tblCellMar>
            <w:top w:w="0" w:type="dxa"/>
            <w:left w:w="108" w:type="dxa"/>
            <w:bottom w:w="0" w:type="dxa"/>
            <w:right w:w="108" w:type="dxa"/>
          </w:tblCellMar>
        </w:tblPrEx>
        <w:trPr>
          <w:trHeight w:val="636" w:hRule="atLeast"/>
          <w:jc w:val="center"/>
        </w:trPr>
        <w:tc>
          <w:tcPr>
            <w:tcW w:w="8388" w:type="dxa"/>
            <w:noWrap w:val="0"/>
            <w:vAlign w:val="center"/>
          </w:tcPr>
          <w:p w14:paraId="1EE4A06C">
            <w:pPr>
              <w:spacing w:before="156" w:beforeAutospacing="0" w:after="93" w:afterAutospacing="0"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法定代表人</w:t>
            </w:r>
          </w:p>
          <w:p w14:paraId="1740DFFE">
            <w:pPr>
              <w:spacing w:before="156" w:beforeAutospacing="0" w:after="93" w:afterAutospacing="0" w:line="440" w:lineRule="exac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或</w:t>
            </w:r>
            <w:r>
              <w:rPr>
                <w:rFonts w:hint="eastAsia" w:ascii="宋体" w:hAnsi="宋体" w:eastAsia="宋体" w:cs="宋体"/>
                <w:color w:val="000000"/>
                <w:sz w:val="24"/>
                <w:szCs w:val="24"/>
              </w:rPr>
              <w:t>授权代表签字：</w:t>
            </w:r>
          </w:p>
        </w:tc>
      </w:tr>
      <w:tr w14:paraId="16506B95">
        <w:tblPrEx>
          <w:tblCellMar>
            <w:top w:w="0" w:type="dxa"/>
            <w:left w:w="108" w:type="dxa"/>
            <w:bottom w:w="0" w:type="dxa"/>
            <w:right w:w="108" w:type="dxa"/>
          </w:tblCellMar>
        </w:tblPrEx>
        <w:trPr>
          <w:trHeight w:val="636" w:hRule="atLeast"/>
          <w:jc w:val="center"/>
        </w:trPr>
        <w:tc>
          <w:tcPr>
            <w:tcW w:w="8388" w:type="dxa"/>
            <w:noWrap w:val="0"/>
            <w:vAlign w:val="center"/>
          </w:tcPr>
          <w:p w14:paraId="30D28F73">
            <w:pPr>
              <w:spacing w:before="156" w:beforeAutospacing="0" w:after="93" w:afterAutospacing="0" w:line="44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期：</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年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  日</w:t>
            </w:r>
          </w:p>
        </w:tc>
      </w:tr>
      <w:tr w14:paraId="0C7E4D58">
        <w:tblPrEx>
          <w:tblCellMar>
            <w:top w:w="0" w:type="dxa"/>
            <w:left w:w="108" w:type="dxa"/>
            <w:bottom w:w="0" w:type="dxa"/>
            <w:right w:w="108" w:type="dxa"/>
          </w:tblCellMar>
        </w:tblPrEx>
        <w:trPr>
          <w:trHeight w:val="636" w:hRule="atLeast"/>
          <w:jc w:val="center"/>
        </w:trPr>
        <w:tc>
          <w:tcPr>
            <w:tcW w:w="8388" w:type="dxa"/>
            <w:noWrap w:val="0"/>
            <w:vAlign w:val="center"/>
          </w:tcPr>
          <w:p w14:paraId="744C0E46">
            <w:pPr>
              <w:spacing w:before="156" w:beforeAutospacing="0" w:after="93" w:afterAutospacing="0" w:line="440" w:lineRule="exact"/>
              <w:rPr>
                <w:rFonts w:hint="eastAsia" w:ascii="宋体" w:hAnsi="宋体" w:eastAsia="宋体" w:cs="宋体"/>
                <w:color w:val="000000"/>
                <w:sz w:val="24"/>
                <w:szCs w:val="24"/>
              </w:rPr>
            </w:pPr>
          </w:p>
        </w:tc>
      </w:tr>
    </w:tbl>
    <w:p w14:paraId="61A3E06E">
      <w:pPr>
        <w:rPr>
          <w:rFonts w:ascii="宋体" w:hAnsi="宋体" w:cs="宋体"/>
          <w:color w:val="000000"/>
          <w:spacing w:val="0"/>
          <w:position w:val="0"/>
          <w:sz w:val="24"/>
          <w:szCs w:val="24"/>
        </w:rPr>
      </w:pPr>
      <w:r>
        <w:rPr>
          <w:rFonts w:ascii="宋体" w:hAnsi="宋体" w:cs="宋体"/>
          <w:color w:val="000000"/>
          <w:spacing w:val="0"/>
          <w:position w:val="0"/>
          <w:sz w:val="24"/>
          <w:szCs w:val="24"/>
        </w:rPr>
        <w:br w:type="page"/>
      </w:r>
    </w:p>
    <w:p w14:paraId="57DE1D03">
      <w:pPr>
        <w:spacing w:before="78" w:line="220" w:lineRule="auto"/>
        <w:ind w:left="2985"/>
        <w:rPr>
          <w:rFonts w:ascii="宋体" w:hAnsi="宋体" w:cs="宋体"/>
          <w:b/>
          <w:bCs/>
          <w:color w:val="000000"/>
          <w:spacing w:val="0"/>
          <w:position w:val="0"/>
          <w:sz w:val="24"/>
          <w:szCs w:val="24"/>
        </w:rPr>
      </w:pPr>
      <w:r>
        <w:rPr>
          <w:rFonts w:ascii="宋体" w:hAnsi="宋体" w:cs="宋体"/>
          <w:b/>
          <w:bCs/>
          <w:color w:val="000000"/>
          <w:spacing w:val="0"/>
          <w:position w:val="0"/>
          <w:sz w:val="24"/>
          <w:szCs w:val="24"/>
        </w:rPr>
        <w:t>第二部分</w:t>
      </w:r>
      <w:r>
        <w:rPr>
          <w:rFonts w:hint="eastAsia" w:ascii="宋体" w:hAnsi="宋体" w:cs="宋体"/>
          <w:b/>
          <w:bCs/>
          <w:color w:val="000000"/>
          <w:spacing w:val="0"/>
          <w:position w:val="0"/>
          <w:sz w:val="24"/>
          <w:szCs w:val="24"/>
          <w:lang w:val="en-US" w:eastAsia="zh-CN"/>
        </w:rPr>
        <w:t xml:space="preserve"> </w:t>
      </w:r>
      <w:r>
        <w:rPr>
          <w:rFonts w:ascii="宋体" w:hAnsi="宋体" w:cs="宋体"/>
          <w:b/>
          <w:bCs/>
          <w:color w:val="000000"/>
          <w:spacing w:val="0"/>
          <w:position w:val="0"/>
          <w:sz w:val="24"/>
          <w:szCs w:val="24"/>
        </w:rPr>
        <w:t>合同一般条款</w:t>
      </w:r>
    </w:p>
    <w:p w14:paraId="0079312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kern w:val="0"/>
          <w:position w:val="0"/>
          <w:sz w:val="24"/>
          <w:szCs w:val="24"/>
        </w:rPr>
      </w:pPr>
      <w:r>
        <w:rPr>
          <w:rFonts w:hint="eastAsia" w:ascii="宋体" w:hAnsi="宋体" w:eastAsia="宋体" w:cs="宋体"/>
          <w:color w:val="000000"/>
          <w:spacing w:val="0"/>
          <w:kern w:val="0"/>
          <w:position w:val="0"/>
          <w:sz w:val="24"/>
          <w:szCs w:val="24"/>
        </w:rPr>
        <w:t>2.1 定义</w:t>
      </w:r>
    </w:p>
    <w:p w14:paraId="78EC8E2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kern w:val="0"/>
          <w:position w:val="0"/>
          <w:sz w:val="24"/>
          <w:szCs w:val="24"/>
        </w:rPr>
      </w:pPr>
      <w:r>
        <w:rPr>
          <w:rFonts w:hint="eastAsia" w:ascii="宋体" w:hAnsi="宋体" w:eastAsia="宋体" w:cs="宋体"/>
          <w:color w:val="000000"/>
          <w:spacing w:val="0"/>
          <w:kern w:val="0"/>
          <w:position w:val="0"/>
          <w:sz w:val="24"/>
          <w:szCs w:val="24"/>
        </w:rPr>
        <w:t>本合同中的下列词语应按以下内容进行解释：</w:t>
      </w:r>
    </w:p>
    <w:p w14:paraId="7886DFC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kern w:val="0"/>
          <w:position w:val="0"/>
          <w:sz w:val="24"/>
          <w:szCs w:val="24"/>
        </w:rPr>
      </w:pPr>
      <w:r>
        <w:rPr>
          <w:rFonts w:hint="eastAsia" w:ascii="宋体" w:hAnsi="宋体" w:eastAsia="宋体" w:cs="宋体"/>
          <w:color w:val="000000"/>
          <w:spacing w:val="0"/>
          <w:kern w:val="0"/>
          <w:position w:val="0"/>
          <w:sz w:val="24"/>
          <w:szCs w:val="24"/>
        </w:rPr>
        <w:t>2.1.1</w:t>
      </w:r>
      <w:r>
        <w:rPr>
          <w:rFonts w:hint="eastAsia" w:ascii="宋体" w:hAnsi="宋体" w:eastAsia="宋体" w:cs="宋体"/>
          <w:color w:val="000000"/>
          <w:spacing w:val="0"/>
          <w:kern w:val="0"/>
          <w:position w:val="0"/>
          <w:sz w:val="24"/>
          <w:szCs w:val="24"/>
          <w:lang w:val="en-US" w:eastAsia="zh-CN"/>
        </w:rPr>
        <w:t xml:space="preserve"> </w:t>
      </w:r>
      <w:r>
        <w:rPr>
          <w:rFonts w:hint="eastAsia" w:ascii="宋体" w:hAnsi="宋体" w:eastAsia="宋体" w:cs="宋体"/>
          <w:color w:val="000000"/>
          <w:spacing w:val="0"/>
          <w:kern w:val="0"/>
          <w:position w:val="0"/>
          <w:sz w:val="24"/>
          <w:szCs w:val="24"/>
        </w:rPr>
        <w:t>“合同”系指</w:t>
      </w:r>
      <w:r>
        <w:rPr>
          <w:rFonts w:hint="eastAsia" w:ascii="宋体" w:hAnsi="宋体" w:eastAsia="宋体" w:cs="宋体"/>
          <w:color w:val="000000"/>
          <w:spacing w:val="0"/>
          <w:kern w:val="0"/>
          <w:position w:val="0"/>
          <w:sz w:val="24"/>
          <w:szCs w:val="24"/>
          <w:lang w:eastAsia="zh-CN"/>
        </w:rPr>
        <w:t>发包人</w:t>
      </w:r>
      <w:r>
        <w:rPr>
          <w:rFonts w:hint="eastAsia" w:ascii="宋体" w:hAnsi="宋体" w:eastAsia="宋体" w:cs="宋体"/>
          <w:color w:val="000000"/>
          <w:spacing w:val="0"/>
          <w:kern w:val="0"/>
          <w:position w:val="0"/>
          <w:sz w:val="24"/>
          <w:szCs w:val="24"/>
        </w:rPr>
        <w:t>和成交供应商签订的载明双方当事人所达成的协议，并包括所有的附件、附录和构成合同的其他文件。</w:t>
      </w:r>
    </w:p>
    <w:p w14:paraId="0FEFA02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kern w:val="0"/>
          <w:position w:val="0"/>
          <w:sz w:val="24"/>
          <w:szCs w:val="24"/>
        </w:rPr>
      </w:pPr>
      <w:r>
        <w:rPr>
          <w:rFonts w:hint="eastAsia" w:ascii="宋体" w:hAnsi="宋体" w:eastAsia="宋体" w:cs="宋体"/>
          <w:color w:val="000000"/>
          <w:spacing w:val="0"/>
          <w:kern w:val="0"/>
          <w:position w:val="0"/>
          <w:sz w:val="24"/>
          <w:szCs w:val="24"/>
        </w:rPr>
        <w:t>2.1.2</w:t>
      </w:r>
      <w:r>
        <w:rPr>
          <w:rFonts w:hint="eastAsia" w:ascii="宋体" w:hAnsi="宋体" w:eastAsia="宋体" w:cs="宋体"/>
          <w:color w:val="000000"/>
          <w:spacing w:val="0"/>
          <w:kern w:val="0"/>
          <w:position w:val="0"/>
          <w:sz w:val="24"/>
          <w:szCs w:val="24"/>
          <w:lang w:val="en-US" w:eastAsia="zh-CN"/>
        </w:rPr>
        <w:t xml:space="preserve"> </w:t>
      </w:r>
      <w:r>
        <w:rPr>
          <w:rFonts w:hint="eastAsia" w:ascii="宋体" w:hAnsi="宋体" w:eastAsia="宋体" w:cs="宋体"/>
          <w:color w:val="000000"/>
          <w:spacing w:val="0"/>
          <w:kern w:val="0"/>
          <w:position w:val="0"/>
          <w:sz w:val="24"/>
          <w:szCs w:val="24"/>
        </w:rPr>
        <w:t>“合同价”系指根据合同约定，成交供应商在完全履行合同义务后，</w:t>
      </w:r>
      <w:r>
        <w:rPr>
          <w:rFonts w:hint="eastAsia" w:ascii="宋体" w:hAnsi="宋体" w:eastAsia="宋体" w:cs="宋体"/>
          <w:color w:val="000000"/>
          <w:spacing w:val="0"/>
          <w:kern w:val="0"/>
          <w:position w:val="0"/>
          <w:sz w:val="24"/>
          <w:szCs w:val="24"/>
          <w:lang w:eastAsia="zh-CN"/>
        </w:rPr>
        <w:t>发包人</w:t>
      </w:r>
      <w:r>
        <w:rPr>
          <w:rFonts w:hint="eastAsia" w:ascii="宋体" w:hAnsi="宋体" w:eastAsia="宋体" w:cs="宋体"/>
          <w:color w:val="000000"/>
          <w:spacing w:val="0"/>
          <w:kern w:val="0"/>
          <w:position w:val="0"/>
          <w:sz w:val="24"/>
          <w:szCs w:val="24"/>
        </w:rPr>
        <w:t>应支付给成交供应商的价格。</w:t>
      </w:r>
    </w:p>
    <w:p w14:paraId="5A6F47F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kern w:val="0"/>
          <w:position w:val="0"/>
          <w:sz w:val="24"/>
          <w:szCs w:val="24"/>
        </w:rPr>
      </w:pPr>
      <w:r>
        <w:rPr>
          <w:rFonts w:hint="eastAsia" w:ascii="宋体" w:hAnsi="宋体" w:eastAsia="宋体" w:cs="宋体"/>
          <w:color w:val="000000"/>
          <w:spacing w:val="0"/>
          <w:kern w:val="0"/>
          <w:position w:val="0"/>
          <w:sz w:val="24"/>
          <w:szCs w:val="24"/>
        </w:rPr>
        <w:t>2.1.3</w:t>
      </w:r>
      <w:r>
        <w:rPr>
          <w:rFonts w:hint="eastAsia" w:ascii="宋体" w:hAnsi="宋体" w:eastAsia="宋体" w:cs="宋体"/>
          <w:color w:val="000000"/>
          <w:spacing w:val="0"/>
          <w:kern w:val="0"/>
          <w:position w:val="0"/>
          <w:sz w:val="24"/>
          <w:szCs w:val="24"/>
          <w:lang w:val="en-US" w:eastAsia="zh-CN"/>
        </w:rPr>
        <w:t xml:space="preserve"> </w:t>
      </w:r>
      <w:r>
        <w:rPr>
          <w:rFonts w:hint="eastAsia" w:ascii="宋体" w:hAnsi="宋体" w:eastAsia="宋体" w:cs="宋体"/>
          <w:color w:val="000000"/>
          <w:spacing w:val="0"/>
          <w:kern w:val="0"/>
          <w:position w:val="0"/>
          <w:sz w:val="24"/>
          <w:szCs w:val="24"/>
        </w:rPr>
        <w:t>“服务”系指成交供应商根据合同约定应向</w:t>
      </w:r>
      <w:r>
        <w:rPr>
          <w:rFonts w:hint="eastAsia" w:ascii="宋体" w:hAnsi="宋体" w:eastAsia="宋体" w:cs="宋体"/>
          <w:color w:val="000000"/>
          <w:spacing w:val="0"/>
          <w:kern w:val="0"/>
          <w:position w:val="0"/>
          <w:sz w:val="24"/>
          <w:szCs w:val="24"/>
          <w:lang w:eastAsia="zh-CN"/>
        </w:rPr>
        <w:t>发包人</w:t>
      </w:r>
      <w:r>
        <w:rPr>
          <w:rFonts w:hint="eastAsia" w:ascii="宋体" w:hAnsi="宋体" w:eastAsia="宋体" w:cs="宋体"/>
          <w:color w:val="000000"/>
          <w:spacing w:val="0"/>
          <w:kern w:val="0"/>
          <w:position w:val="0"/>
          <w:sz w:val="24"/>
          <w:szCs w:val="24"/>
        </w:rPr>
        <w:t>履行的除货物和工程以外的其他政府采购对象， 包括</w:t>
      </w:r>
      <w:r>
        <w:rPr>
          <w:rFonts w:hint="eastAsia" w:ascii="宋体" w:hAnsi="宋体" w:eastAsia="宋体" w:cs="宋体"/>
          <w:color w:val="000000"/>
          <w:spacing w:val="0"/>
          <w:kern w:val="0"/>
          <w:position w:val="0"/>
          <w:sz w:val="24"/>
          <w:szCs w:val="24"/>
          <w:lang w:eastAsia="zh-CN"/>
        </w:rPr>
        <w:t>发包人</w:t>
      </w:r>
      <w:r>
        <w:rPr>
          <w:rFonts w:hint="eastAsia" w:ascii="宋体" w:hAnsi="宋体" w:eastAsia="宋体" w:cs="宋体"/>
          <w:color w:val="000000"/>
          <w:spacing w:val="0"/>
          <w:kern w:val="0"/>
          <w:position w:val="0"/>
          <w:sz w:val="24"/>
          <w:szCs w:val="24"/>
        </w:rPr>
        <w:t>自身需要的服务和向社会公众提供的公共服务。</w:t>
      </w:r>
    </w:p>
    <w:p w14:paraId="00D33253">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kern w:val="0"/>
          <w:position w:val="0"/>
          <w:sz w:val="24"/>
          <w:szCs w:val="24"/>
        </w:rPr>
      </w:pPr>
      <w:r>
        <w:rPr>
          <w:rFonts w:hint="eastAsia" w:ascii="宋体" w:hAnsi="宋体" w:eastAsia="宋体" w:cs="宋体"/>
          <w:color w:val="000000"/>
          <w:spacing w:val="0"/>
          <w:kern w:val="0"/>
          <w:position w:val="0"/>
          <w:sz w:val="24"/>
          <w:szCs w:val="24"/>
        </w:rPr>
        <w:t>2.1.4</w:t>
      </w:r>
      <w:r>
        <w:rPr>
          <w:rFonts w:hint="eastAsia" w:ascii="宋体" w:hAnsi="宋体" w:eastAsia="宋体" w:cs="宋体"/>
          <w:color w:val="000000"/>
          <w:spacing w:val="0"/>
          <w:kern w:val="0"/>
          <w:position w:val="0"/>
          <w:sz w:val="24"/>
          <w:szCs w:val="24"/>
          <w:lang w:val="en-US" w:eastAsia="zh-CN"/>
        </w:rPr>
        <w:t xml:space="preserve"> </w:t>
      </w:r>
      <w:r>
        <w:rPr>
          <w:rFonts w:hint="eastAsia" w:ascii="宋体" w:hAnsi="宋体" w:eastAsia="宋体" w:cs="宋体"/>
          <w:color w:val="000000"/>
          <w:spacing w:val="0"/>
          <w:kern w:val="0"/>
          <w:position w:val="0"/>
          <w:sz w:val="24"/>
          <w:szCs w:val="24"/>
        </w:rPr>
        <w:t>“甲方”系指与成交供应商签署合同的</w:t>
      </w:r>
      <w:r>
        <w:rPr>
          <w:rFonts w:hint="eastAsia" w:ascii="宋体" w:hAnsi="宋体" w:eastAsia="宋体" w:cs="宋体"/>
          <w:color w:val="000000"/>
          <w:spacing w:val="0"/>
          <w:kern w:val="0"/>
          <w:position w:val="0"/>
          <w:sz w:val="24"/>
          <w:szCs w:val="24"/>
          <w:lang w:eastAsia="zh-CN"/>
        </w:rPr>
        <w:t>发包人</w:t>
      </w:r>
      <w:r>
        <w:rPr>
          <w:rFonts w:hint="eastAsia" w:ascii="宋体" w:hAnsi="宋体" w:eastAsia="宋体" w:cs="宋体"/>
          <w:color w:val="000000"/>
          <w:spacing w:val="0"/>
          <w:kern w:val="0"/>
          <w:position w:val="0"/>
          <w:sz w:val="24"/>
          <w:szCs w:val="24"/>
        </w:rPr>
        <w:t>；</w:t>
      </w:r>
      <w:r>
        <w:rPr>
          <w:rFonts w:hint="eastAsia" w:ascii="宋体" w:hAnsi="宋体" w:eastAsia="宋体" w:cs="宋体"/>
          <w:color w:val="000000"/>
          <w:spacing w:val="0"/>
          <w:kern w:val="0"/>
          <w:position w:val="0"/>
          <w:sz w:val="24"/>
          <w:szCs w:val="24"/>
          <w:lang w:eastAsia="zh-CN"/>
        </w:rPr>
        <w:t>发包人</w:t>
      </w:r>
      <w:r>
        <w:rPr>
          <w:rFonts w:hint="eastAsia" w:ascii="宋体" w:hAnsi="宋体" w:eastAsia="宋体" w:cs="宋体"/>
          <w:color w:val="000000"/>
          <w:spacing w:val="0"/>
          <w:kern w:val="0"/>
          <w:position w:val="0"/>
          <w:sz w:val="24"/>
          <w:szCs w:val="24"/>
        </w:rPr>
        <w:t>委托采购代理机构代表其与乙方签订合同的，</w:t>
      </w:r>
      <w:r>
        <w:rPr>
          <w:rFonts w:hint="eastAsia" w:ascii="宋体" w:hAnsi="宋体" w:eastAsia="宋体" w:cs="宋体"/>
          <w:color w:val="000000"/>
          <w:spacing w:val="0"/>
          <w:kern w:val="0"/>
          <w:position w:val="0"/>
          <w:sz w:val="24"/>
          <w:szCs w:val="24"/>
          <w:lang w:eastAsia="zh-CN"/>
        </w:rPr>
        <w:t>发包人</w:t>
      </w:r>
      <w:r>
        <w:rPr>
          <w:rFonts w:hint="eastAsia" w:ascii="宋体" w:hAnsi="宋体" w:eastAsia="宋体" w:cs="宋体"/>
          <w:color w:val="000000"/>
          <w:spacing w:val="0"/>
          <w:kern w:val="0"/>
          <w:position w:val="0"/>
          <w:sz w:val="24"/>
          <w:szCs w:val="24"/>
        </w:rPr>
        <w:t>的授权委托书作为合同附件。</w:t>
      </w:r>
    </w:p>
    <w:p w14:paraId="4907D22F">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kern w:val="0"/>
          <w:position w:val="0"/>
          <w:sz w:val="24"/>
          <w:szCs w:val="24"/>
        </w:rPr>
        <w:t>2.1.5</w:t>
      </w:r>
      <w:r>
        <w:rPr>
          <w:rFonts w:hint="eastAsia" w:ascii="宋体" w:hAnsi="宋体" w:eastAsia="宋体" w:cs="宋体"/>
          <w:color w:val="000000"/>
          <w:spacing w:val="0"/>
          <w:kern w:val="0"/>
          <w:position w:val="0"/>
          <w:sz w:val="24"/>
          <w:szCs w:val="24"/>
          <w:lang w:val="en-US" w:eastAsia="zh-CN"/>
        </w:rPr>
        <w:t xml:space="preserve"> </w:t>
      </w:r>
      <w:r>
        <w:rPr>
          <w:rFonts w:hint="eastAsia" w:ascii="宋体" w:hAnsi="宋体" w:eastAsia="宋体" w:cs="宋体"/>
          <w:color w:val="000000"/>
          <w:spacing w:val="0"/>
          <w:kern w:val="0"/>
          <w:position w:val="0"/>
          <w:sz w:val="24"/>
          <w:szCs w:val="24"/>
        </w:rPr>
        <w:t>“乙方”系指根据合同约定提供服务的成交供应商；两个以上的自然人、法人或者其他组织组成一个联合体，以一个供应商的身份共同参加政府采购的，联合体各方均应为乙方或者与乙方相同地位</w:t>
      </w:r>
      <w:r>
        <w:rPr>
          <w:rFonts w:hint="eastAsia" w:ascii="宋体" w:hAnsi="宋体" w:eastAsia="宋体" w:cs="宋体"/>
          <w:color w:val="000000"/>
          <w:spacing w:val="0"/>
          <w:position w:val="0"/>
          <w:sz w:val="24"/>
          <w:szCs w:val="24"/>
        </w:rPr>
        <w:t>的合同当事人，并就合同约定的事项对甲方承担连带责任。</w:t>
      </w:r>
    </w:p>
    <w:p w14:paraId="7DFEF1AA">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2.1.6</w:t>
      </w:r>
      <w:r>
        <w:rPr>
          <w:rFonts w:hint="eastAsia" w:ascii="宋体" w:hAnsi="宋体" w:eastAsia="宋体" w:cs="宋体"/>
          <w:color w:val="000000"/>
          <w:spacing w:val="0"/>
          <w:position w:val="0"/>
          <w:sz w:val="24"/>
          <w:szCs w:val="24"/>
          <w:lang w:val="en-US" w:eastAsia="zh-CN"/>
        </w:rPr>
        <w:t xml:space="preserve"> </w:t>
      </w:r>
      <w:r>
        <w:rPr>
          <w:rFonts w:hint="eastAsia" w:ascii="宋体" w:hAnsi="宋体" w:eastAsia="宋体" w:cs="宋体"/>
          <w:color w:val="000000"/>
          <w:spacing w:val="0"/>
          <w:position w:val="0"/>
          <w:sz w:val="24"/>
          <w:szCs w:val="24"/>
        </w:rPr>
        <w:t>“现场”系指合同约定提供服务的地点。</w:t>
      </w:r>
    </w:p>
    <w:p w14:paraId="6AF63894">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2.2 技术规范</w:t>
      </w:r>
    </w:p>
    <w:p w14:paraId="4A6FD00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6FE0BB39">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2.3 知识产权</w:t>
      </w:r>
    </w:p>
    <w:p w14:paraId="40E023F4">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309B5B2D">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2.3.2 具有知识产权的计算机软件等货物的知识产权归属， 详见</w:t>
      </w:r>
      <w:r>
        <w:rPr>
          <w:rFonts w:hint="eastAsia" w:ascii="宋体" w:hAnsi="宋体" w:eastAsia="宋体" w:cs="宋体"/>
          <w:color w:val="000000"/>
          <w:spacing w:val="0"/>
          <w:position w:val="0"/>
          <w:sz w:val="24"/>
          <w:szCs w:val="24"/>
          <w:u w:val="single"/>
        </w:rPr>
        <w:t>合同专用条 款</w:t>
      </w:r>
      <w:r>
        <w:rPr>
          <w:rFonts w:hint="eastAsia" w:ascii="宋体" w:hAnsi="宋体" w:eastAsia="宋体" w:cs="宋体"/>
          <w:color w:val="000000"/>
          <w:spacing w:val="0"/>
          <w:position w:val="0"/>
          <w:sz w:val="24"/>
          <w:szCs w:val="24"/>
        </w:rPr>
        <w:t>。</w:t>
      </w:r>
    </w:p>
    <w:p w14:paraId="776603A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2.4 履约检查和问题反馈</w:t>
      </w:r>
    </w:p>
    <w:p w14:paraId="47904DB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2.4.1 甲方有权在其认为必要时，对乙方是否能够按照合同约定提供服务进行履约检查，以确保乙方所提供的服务能够依约满足甲方项目需求，但不得因履约检查妨碍乙方的正常工作，乙方应予积极配合；</w:t>
      </w:r>
    </w:p>
    <w:p w14:paraId="2018004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2.4.2 合同履行期间，甲方有权将履行过程中出现的问题反馈给乙方，双方当事人应以书面形式约定需要完善和改进的内容。</w:t>
      </w:r>
    </w:p>
    <w:p w14:paraId="6E4DFCE2">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2.5 结算方式和付款条件详见</w:t>
      </w:r>
      <w:r>
        <w:rPr>
          <w:rFonts w:hint="eastAsia" w:ascii="宋体" w:hAnsi="宋体" w:eastAsia="宋体" w:cs="宋体"/>
          <w:color w:val="000000"/>
          <w:spacing w:val="0"/>
          <w:position w:val="0"/>
          <w:sz w:val="24"/>
          <w:szCs w:val="24"/>
          <w:u w:val="single"/>
        </w:rPr>
        <w:t>合同专用条款</w:t>
      </w:r>
      <w:r>
        <w:rPr>
          <w:rFonts w:hint="eastAsia" w:ascii="宋体" w:hAnsi="宋体" w:eastAsia="宋体" w:cs="宋体"/>
          <w:color w:val="000000"/>
          <w:spacing w:val="0"/>
          <w:position w:val="0"/>
          <w:sz w:val="24"/>
          <w:szCs w:val="24"/>
        </w:rPr>
        <w:t>。</w:t>
      </w:r>
    </w:p>
    <w:p w14:paraId="4894BF4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2.6 技术资料和保密义务</w:t>
      </w:r>
    </w:p>
    <w:p w14:paraId="74064A4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2.6.1 乙方有权依据合同约定和项目需要，向甲方了解有关情况，调阅有关资料等，甲方应予积极配合；</w:t>
      </w:r>
    </w:p>
    <w:p w14:paraId="40FDCF4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2.6.2 乙方有义务妥善保管和保护由甲方提供的前款信息和资料等；</w:t>
      </w:r>
    </w:p>
    <w:p w14:paraId="762A030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FF9D4F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2.7 质量保证</w:t>
      </w:r>
    </w:p>
    <w:p w14:paraId="7C147864">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2.7.1 乙方应建立和完善履行合同的内部质量保证体系，并提供相关内部规章制度给甲方，以便甲方进行监督检查；</w:t>
      </w:r>
    </w:p>
    <w:p w14:paraId="280781ED">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2.7.2 乙方应保证履行合同的人员数量和素质、软件和硬件设备的配置、场地、环境和设施等满足全面履行合同的要求，并应接受甲方的监督检查。</w:t>
      </w:r>
    </w:p>
    <w:p w14:paraId="1E75F372">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2.8 延迟履行</w:t>
      </w:r>
    </w:p>
    <w:p w14:paraId="2E65E0F5">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085018A">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2.9 合同变更</w:t>
      </w:r>
    </w:p>
    <w:p w14:paraId="1BC96B0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lang w:eastAsia="zh-CN"/>
        </w:rPr>
      </w:pPr>
      <w:r>
        <w:rPr>
          <w:rFonts w:hint="eastAsia" w:ascii="宋体" w:hAnsi="宋体" w:eastAsia="宋体" w:cs="宋体"/>
          <w:color w:val="000000"/>
          <w:spacing w:val="0"/>
          <w:position w:val="0"/>
          <w:sz w:val="24"/>
          <w:szCs w:val="24"/>
        </w:rPr>
        <w:t>2.9.1 双方当事人协商一致，可以签订书面补充合同的形式变更合同，但不 得违背采购文件确定的事项</w:t>
      </w:r>
      <w:r>
        <w:rPr>
          <w:rFonts w:hint="eastAsia" w:ascii="宋体" w:hAnsi="宋体" w:eastAsia="宋体" w:cs="宋体"/>
          <w:color w:val="000000"/>
          <w:spacing w:val="0"/>
          <w:position w:val="0"/>
          <w:sz w:val="24"/>
          <w:szCs w:val="24"/>
          <w:lang w:eastAsia="zh-CN"/>
        </w:rPr>
        <w:t>；</w:t>
      </w:r>
    </w:p>
    <w:p w14:paraId="7CE2FF33">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2.9.2 合同继续履行将损害国家利益和社会公共利益的，双方当事人应当以书面形式变更合同。有过错的一方应当承担赔偿责任，双方当事人都有过错的， 各自承担相应的责任。</w:t>
      </w:r>
    </w:p>
    <w:p w14:paraId="549B9DF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2.10 合同转让和分包</w:t>
      </w:r>
    </w:p>
    <w:p w14:paraId="04FAE572">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4CDBF78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2.11 不可抗力</w:t>
      </w:r>
    </w:p>
    <w:p w14:paraId="60B072D2">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2.11.1 如果任何一方遭遇法律规定的不可抗力，致使合同履行受阻时，履行合同的期限应予延长，延长的期限应相当于不可抗力所影响的时间；</w:t>
      </w:r>
    </w:p>
    <w:p w14:paraId="35B799C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2.11.2 因不可抗力致使不能实现合同目的的，当事人可以解除合同；</w:t>
      </w:r>
    </w:p>
    <w:p w14:paraId="4BE19DF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2.11.3 因不可抗力致使合同有变更必要的，双方当事人应在</w:t>
      </w:r>
      <w:r>
        <w:rPr>
          <w:rFonts w:hint="eastAsia" w:ascii="宋体" w:hAnsi="宋体" w:eastAsia="宋体" w:cs="宋体"/>
          <w:color w:val="000000"/>
          <w:spacing w:val="0"/>
          <w:position w:val="0"/>
          <w:sz w:val="24"/>
          <w:szCs w:val="24"/>
          <w:u w:val="single"/>
        </w:rPr>
        <w:t>合同专用条款</w:t>
      </w:r>
      <w:r>
        <w:rPr>
          <w:rFonts w:hint="eastAsia" w:ascii="宋体" w:hAnsi="宋体" w:eastAsia="宋体" w:cs="宋体"/>
          <w:color w:val="000000"/>
          <w:spacing w:val="0"/>
          <w:position w:val="0"/>
          <w:sz w:val="24"/>
          <w:szCs w:val="24"/>
        </w:rPr>
        <w:t>约定时间内以书面形式变更合同；</w:t>
      </w:r>
    </w:p>
    <w:p w14:paraId="181F770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2.11.4 受不可抗力影响的一方在不可抗力发生后，应在</w:t>
      </w:r>
      <w:r>
        <w:rPr>
          <w:rFonts w:hint="eastAsia" w:ascii="宋体" w:hAnsi="宋体" w:eastAsia="宋体" w:cs="宋体"/>
          <w:color w:val="000000"/>
          <w:spacing w:val="0"/>
          <w:position w:val="0"/>
          <w:sz w:val="24"/>
          <w:szCs w:val="24"/>
          <w:u w:val="single"/>
        </w:rPr>
        <w:t>合同专用条款</w:t>
      </w:r>
      <w:r>
        <w:rPr>
          <w:rFonts w:hint="eastAsia" w:ascii="宋体" w:hAnsi="宋体" w:eastAsia="宋体" w:cs="宋体"/>
          <w:color w:val="000000"/>
          <w:spacing w:val="0"/>
          <w:position w:val="0"/>
          <w:sz w:val="24"/>
          <w:szCs w:val="24"/>
        </w:rPr>
        <w:t>约定时间内以书面形式通知对方当事人，并在</w:t>
      </w:r>
      <w:r>
        <w:rPr>
          <w:rFonts w:hint="eastAsia" w:ascii="宋体" w:hAnsi="宋体" w:eastAsia="宋体" w:cs="宋体"/>
          <w:color w:val="000000"/>
          <w:spacing w:val="0"/>
          <w:position w:val="0"/>
          <w:sz w:val="24"/>
          <w:szCs w:val="24"/>
          <w:u w:val="single"/>
        </w:rPr>
        <w:t>合同专用条款</w:t>
      </w:r>
      <w:r>
        <w:rPr>
          <w:rFonts w:hint="eastAsia" w:ascii="宋体" w:hAnsi="宋体" w:eastAsia="宋体" w:cs="宋体"/>
          <w:color w:val="000000"/>
          <w:spacing w:val="0"/>
          <w:position w:val="0"/>
          <w:sz w:val="24"/>
          <w:szCs w:val="24"/>
        </w:rPr>
        <w:t>约定时间内，将有关部门出具的证明文件送达对方当事人。</w:t>
      </w:r>
    </w:p>
    <w:p w14:paraId="18E9B89F">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2.12 税费</w:t>
      </w:r>
    </w:p>
    <w:p w14:paraId="237F95DD">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与合同有关的一切税费，均按照中华人民共和国法律的相关规定缴纳。</w:t>
      </w:r>
    </w:p>
    <w:p w14:paraId="198ADFF2">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2.13 乙方破产</w:t>
      </w:r>
    </w:p>
    <w:p w14:paraId="44967BA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58F9E6F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2.14 合同中止、终止</w:t>
      </w:r>
    </w:p>
    <w:p w14:paraId="527E41F5">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2.14.1 双方当事人不得擅自中止或者终止合同；</w:t>
      </w:r>
    </w:p>
    <w:p w14:paraId="3F06073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2.14.2 合同继续履行将损害国家利益和社会公共利益的，双方当事人应当中止或者终止合同。有过错的一方应当承担赔偿责任，双方当事人都有过错的，各自承担相应的责任。</w:t>
      </w:r>
    </w:p>
    <w:p w14:paraId="3975FCD9">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2.15 检验和验收</w:t>
      </w:r>
    </w:p>
    <w:p w14:paraId="3CFBF465">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2.15.1 乙方按照</w:t>
      </w:r>
      <w:r>
        <w:rPr>
          <w:rFonts w:hint="eastAsia" w:ascii="宋体" w:hAnsi="宋体" w:eastAsia="宋体" w:cs="宋体"/>
          <w:color w:val="000000"/>
          <w:spacing w:val="0"/>
          <w:position w:val="0"/>
          <w:sz w:val="24"/>
          <w:szCs w:val="24"/>
          <w:u w:val="single"/>
        </w:rPr>
        <w:t>合同专用条款</w:t>
      </w:r>
      <w:r>
        <w:rPr>
          <w:rFonts w:hint="eastAsia" w:ascii="宋体" w:hAnsi="宋体" w:eastAsia="宋体" w:cs="宋体"/>
          <w:color w:val="000000"/>
          <w:spacing w:val="0"/>
          <w:position w:val="0"/>
          <w:sz w:val="24"/>
          <w:szCs w:val="24"/>
        </w:rPr>
        <w:t>的约定，定期提交服务报告，甲方按照</w:t>
      </w:r>
      <w:r>
        <w:rPr>
          <w:rFonts w:hint="eastAsia" w:ascii="宋体" w:hAnsi="宋体" w:eastAsia="宋体" w:cs="宋体"/>
          <w:color w:val="000000"/>
          <w:spacing w:val="0"/>
          <w:position w:val="0"/>
          <w:sz w:val="24"/>
          <w:szCs w:val="24"/>
          <w:u w:val="single"/>
        </w:rPr>
        <w:t>合同专用条款</w:t>
      </w:r>
      <w:r>
        <w:rPr>
          <w:rFonts w:hint="eastAsia" w:ascii="宋体" w:hAnsi="宋体" w:eastAsia="宋体" w:cs="宋体"/>
          <w:color w:val="000000"/>
          <w:spacing w:val="0"/>
          <w:position w:val="0"/>
          <w:sz w:val="24"/>
          <w:szCs w:val="24"/>
        </w:rPr>
        <w:t>的约定进行定期验收；</w:t>
      </w:r>
    </w:p>
    <w:p w14:paraId="7C5A15C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2.15.2 合同期满或者履行完毕后，甲方有权组织(包括依法邀请国家认可的质量检测机构参加) 对乙方履约的验收，即：按照合同约定的标准，组织对乙方履约情况的验收，并出具验收书；向社会公众提供的公共服务项目，验收时应当邀请服务对象参与并出具意见，验收结果应当向社会公告；</w:t>
      </w:r>
    </w:p>
    <w:p w14:paraId="31E0270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2.15.3 检验和验收标准、程序等具体内容以及前述验收书的效力详见</w:t>
      </w:r>
      <w:r>
        <w:rPr>
          <w:rFonts w:hint="eastAsia" w:ascii="宋体" w:hAnsi="宋体" w:eastAsia="宋体" w:cs="宋体"/>
          <w:color w:val="000000"/>
          <w:spacing w:val="0"/>
          <w:position w:val="0"/>
          <w:sz w:val="24"/>
          <w:szCs w:val="24"/>
          <w:u w:val="single"/>
        </w:rPr>
        <w:t>合同专用条款。</w:t>
      </w:r>
    </w:p>
    <w:p w14:paraId="7B30D8B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2.16 合同使用的文字和适用的法律</w:t>
      </w:r>
    </w:p>
    <w:p w14:paraId="3038DCC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2.16.1 合同使用汉语书就、变更和解释；</w:t>
      </w:r>
    </w:p>
    <w:p w14:paraId="52AFCBCC">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2.16.2 合同适用中华人民共和国法律。</w:t>
      </w:r>
    </w:p>
    <w:p w14:paraId="617B57F7">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2.17 履约保证金</w:t>
      </w:r>
    </w:p>
    <w:p w14:paraId="4CC16210">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2.17.1 采购文件要求乙方提交履约保证金的，乙方应按</w:t>
      </w:r>
      <w:r>
        <w:rPr>
          <w:rFonts w:hint="eastAsia" w:ascii="宋体" w:hAnsi="宋体" w:eastAsia="宋体" w:cs="宋体"/>
          <w:color w:val="000000"/>
          <w:spacing w:val="0"/>
          <w:position w:val="0"/>
          <w:sz w:val="24"/>
          <w:szCs w:val="24"/>
          <w:u w:val="single"/>
        </w:rPr>
        <w:t>供应商须知前附表的</w:t>
      </w:r>
      <w:r>
        <w:rPr>
          <w:rFonts w:hint="eastAsia" w:ascii="宋体" w:hAnsi="宋体" w:eastAsia="宋体" w:cs="宋体"/>
          <w:color w:val="000000"/>
          <w:spacing w:val="0"/>
          <w:position w:val="0"/>
          <w:sz w:val="24"/>
          <w:szCs w:val="24"/>
        </w:rPr>
        <w:t>约定提交不超过合同价2.5%的履约保证金；</w:t>
      </w:r>
    </w:p>
    <w:p w14:paraId="7E39E117">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2.17.</w:t>
      </w:r>
      <w:r>
        <w:rPr>
          <w:rFonts w:hint="eastAsia" w:ascii="宋体" w:hAnsi="宋体" w:eastAsia="宋体" w:cs="宋体"/>
          <w:color w:val="000000"/>
          <w:spacing w:val="0"/>
          <w:position w:val="0"/>
          <w:sz w:val="24"/>
          <w:szCs w:val="24"/>
          <w:lang w:val="en-US" w:eastAsia="zh-CN"/>
        </w:rPr>
        <w:t>2</w:t>
      </w:r>
      <w:r>
        <w:rPr>
          <w:rFonts w:hint="eastAsia" w:ascii="宋体" w:hAnsi="宋体" w:eastAsia="宋体" w:cs="宋体"/>
          <w:color w:val="000000"/>
          <w:spacing w:val="0"/>
          <w:position w:val="0"/>
          <w:sz w:val="24"/>
          <w:szCs w:val="24"/>
        </w:rPr>
        <w:t xml:space="preserve">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3201B4A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outlineLvl w:val="0"/>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2.18 合同份数</w:t>
      </w:r>
    </w:p>
    <w:p w14:paraId="0C209D63">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color w:val="000000"/>
          <w:spacing w:val="0"/>
          <w:position w:val="0"/>
        </w:rPr>
        <w:sectPr>
          <w:headerReference r:id="rId6" w:type="default"/>
          <w:footerReference r:id="rId7" w:type="default"/>
          <w:pgSz w:w="11907" w:h="16839"/>
          <w:pgMar w:top="1118" w:right="1731" w:bottom="1233" w:left="1771" w:header="877" w:footer="982" w:gutter="0"/>
          <w:pgNumType w:fmt="decimal"/>
          <w:cols w:space="720" w:num="1"/>
        </w:sectPr>
      </w:pPr>
      <w:r>
        <w:rPr>
          <w:rFonts w:hint="eastAsia" w:ascii="宋体" w:hAnsi="宋体" w:eastAsia="宋体" w:cs="宋体"/>
          <w:color w:val="000000"/>
          <w:spacing w:val="0"/>
          <w:position w:val="0"/>
          <w:sz w:val="24"/>
          <w:szCs w:val="24"/>
        </w:rPr>
        <w:t>合同份数按</w:t>
      </w:r>
      <w:r>
        <w:rPr>
          <w:rFonts w:hint="eastAsia" w:ascii="宋体" w:hAnsi="宋体" w:eastAsia="宋体" w:cs="宋体"/>
          <w:color w:val="000000"/>
          <w:spacing w:val="0"/>
          <w:position w:val="0"/>
          <w:sz w:val="24"/>
          <w:szCs w:val="24"/>
          <w:u w:val="single"/>
        </w:rPr>
        <w:t>合同专用条款</w:t>
      </w:r>
      <w:r>
        <w:rPr>
          <w:rFonts w:hint="eastAsia" w:ascii="宋体" w:hAnsi="宋体" w:eastAsia="宋体" w:cs="宋体"/>
          <w:color w:val="000000"/>
          <w:spacing w:val="0"/>
          <w:position w:val="0"/>
          <w:sz w:val="24"/>
          <w:szCs w:val="24"/>
        </w:rPr>
        <w:t>规定，每份均具有同等法律效力。</w:t>
      </w:r>
    </w:p>
    <w:p w14:paraId="1F1B5740">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宋体" w:hAnsi="宋体" w:eastAsia="宋体" w:cs="宋体"/>
          <w:b/>
          <w:bCs/>
          <w:color w:val="000000"/>
          <w:spacing w:val="0"/>
          <w:position w:val="0"/>
          <w:sz w:val="24"/>
          <w:szCs w:val="24"/>
        </w:rPr>
      </w:pPr>
      <w:r>
        <w:rPr>
          <w:rFonts w:hint="eastAsia" w:ascii="宋体" w:hAnsi="宋体" w:eastAsia="宋体" w:cs="宋体"/>
          <w:b/>
          <w:bCs/>
          <w:color w:val="000000"/>
          <w:spacing w:val="0"/>
          <w:position w:val="0"/>
          <w:sz w:val="24"/>
          <w:szCs w:val="24"/>
        </w:rPr>
        <w:t>第三部分 合同专用条款</w:t>
      </w:r>
    </w:p>
    <w:p w14:paraId="72EC2982">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2FCAD59A">
      <w:pPr>
        <w:spacing w:line="69" w:lineRule="exact"/>
        <w:rPr>
          <w:rFonts w:hint="eastAsia" w:ascii="宋体" w:hAnsi="宋体" w:eastAsia="宋体" w:cs="宋体"/>
          <w:color w:val="000000"/>
          <w:spacing w:val="0"/>
          <w:position w:val="0"/>
          <w:sz w:val="24"/>
          <w:szCs w:val="24"/>
        </w:rPr>
      </w:pPr>
    </w:p>
    <w:tbl>
      <w:tblPr>
        <w:tblStyle w:val="71"/>
        <w:tblW w:w="837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1356"/>
        <w:gridCol w:w="7014"/>
      </w:tblGrid>
      <w:tr w14:paraId="5C3AE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495" w:hRule="atLeast"/>
          <w:jc w:val="center"/>
        </w:trPr>
        <w:tc>
          <w:tcPr>
            <w:tcW w:w="1356" w:type="dxa"/>
            <w:tcBorders>
              <w:right w:val="single" w:color="000000" w:sz="4" w:space="0"/>
            </w:tcBorders>
            <w:noWrap w:val="0"/>
            <w:vAlign w:val="center"/>
          </w:tcPr>
          <w:p w14:paraId="7BE50D12">
            <w:pPr>
              <w:spacing w:before="83" w:line="220" w:lineRule="auto"/>
              <w:ind w:left="47"/>
              <w:jc w:val="center"/>
              <w:rPr>
                <w:rFonts w:hint="eastAsia" w:ascii="宋体" w:hAnsi="宋体" w:eastAsia="宋体" w:cs="宋体"/>
                <w:b/>
                <w:bCs/>
                <w:color w:val="000000"/>
                <w:spacing w:val="0"/>
                <w:position w:val="0"/>
                <w:sz w:val="24"/>
                <w:szCs w:val="24"/>
              </w:rPr>
            </w:pPr>
            <w:r>
              <w:rPr>
                <w:rFonts w:hint="eastAsia" w:ascii="宋体" w:hAnsi="宋体" w:eastAsia="宋体" w:cs="宋体"/>
                <w:b/>
                <w:bCs/>
                <w:color w:val="000000"/>
                <w:spacing w:val="0"/>
                <w:position w:val="0"/>
                <w:sz w:val="24"/>
                <w:szCs w:val="24"/>
              </w:rPr>
              <w:t>条款号</w:t>
            </w:r>
          </w:p>
        </w:tc>
        <w:tc>
          <w:tcPr>
            <w:tcW w:w="7014" w:type="dxa"/>
            <w:tcBorders>
              <w:left w:val="single" w:color="000000" w:sz="4" w:space="0"/>
              <w:right w:val="single" w:color="000000" w:sz="4" w:space="0"/>
            </w:tcBorders>
            <w:noWrap w:val="0"/>
            <w:vAlign w:val="center"/>
          </w:tcPr>
          <w:p w14:paraId="223E2033">
            <w:pPr>
              <w:spacing w:before="83" w:line="220" w:lineRule="auto"/>
              <w:jc w:val="center"/>
              <w:rPr>
                <w:rFonts w:hint="eastAsia" w:ascii="宋体" w:hAnsi="宋体" w:eastAsia="宋体" w:cs="宋体"/>
                <w:b/>
                <w:bCs/>
                <w:color w:val="000000"/>
                <w:spacing w:val="0"/>
                <w:position w:val="0"/>
                <w:sz w:val="24"/>
                <w:szCs w:val="24"/>
              </w:rPr>
            </w:pPr>
            <w:r>
              <w:rPr>
                <w:rFonts w:hint="eastAsia" w:ascii="宋体" w:hAnsi="宋体" w:eastAsia="宋体" w:cs="宋体"/>
                <w:b/>
                <w:bCs/>
                <w:color w:val="000000"/>
                <w:spacing w:val="0"/>
                <w:position w:val="0"/>
                <w:sz w:val="24"/>
                <w:szCs w:val="24"/>
              </w:rPr>
              <w:t>约定内容</w:t>
            </w:r>
          </w:p>
        </w:tc>
      </w:tr>
      <w:tr w14:paraId="2EC5E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0"/>
            <w:vAlign w:val="center"/>
          </w:tcPr>
          <w:p w14:paraId="0C67BFB8">
            <w:pPr>
              <w:jc w:val="center"/>
              <w:rPr>
                <w:rFonts w:hint="eastAsia" w:ascii="宋体" w:hAnsi="宋体" w:eastAsia="宋体" w:cs="宋体"/>
                <w:color w:val="000000"/>
                <w:spacing w:val="0"/>
                <w:position w:val="0"/>
                <w:sz w:val="24"/>
                <w:szCs w:val="24"/>
                <w:lang w:val="en-US" w:eastAsia="zh-CN"/>
              </w:rPr>
            </w:pPr>
          </w:p>
        </w:tc>
        <w:tc>
          <w:tcPr>
            <w:tcW w:w="7014" w:type="dxa"/>
            <w:tcBorders>
              <w:left w:val="single" w:color="000000" w:sz="4" w:space="0"/>
              <w:right w:val="single" w:color="000000" w:sz="4" w:space="0"/>
            </w:tcBorders>
            <w:noWrap w:val="0"/>
            <w:vAlign w:val="center"/>
          </w:tcPr>
          <w:p w14:paraId="62FFB831">
            <w:pPr>
              <w:rPr>
                <w:rFonts w:hint="eastAsia" w:ascii="宋体" w:hAnsi="宋体" w:eastAsia="宋体" w:cs="宋体"/>
                <w:color w:val="000000"/>
                <w:spacing w:val="0"/>
                <w:position w:val="0"/>
                <w:sz w:val="24"/>
                <w:szCs w:val="24"/>
              </w:rPr>
            </w:pPr>
          </w:p>
        </w:tc>
      </w:tr>
      <w:tr w14:paraId="5E986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0"/>
            <w:vAlign w:val="center"/>
          </w:tcPr>
          <w:p w14:paraId="6C9EF139">
            <w:pPr>
              <w:rPr>
                <w:rFonts w:hint="eastAsia" w:ascii="宋体" w:hAnsi="宋体" w:eastAsia="宋体" w:cs="宋体"/>
                <w:color w:val="000000"/>
                <w:spacing w:val="0"/>
                <w:position w:val="0"/>
                <w:sz w:val="24"/>
                <w:szCs w:val="24"/>
              </w:rPr>
            </w:pPr>
          </w:p>
        </w:tc>
        <w:tc>
          <w:tcPr>
            <w:tcW w:w="7014" w:type="dxa"/>
            <w:tcBorders>
              <w:left w:val="single" w:color="000000" w:sz="4" w:space="0"/>
              <w:right w:val="single" w:color="000000" w:sz="4" w:space="0"/>
            </w:tcBorders>
            <w:noWrap w:val="0"/>
            <w:vAlign w:val="center"/>
          </w:tcPr>
          <w:p w14:paraId="74DCC484">
            <w:pPr>
              <w:rPr>
                <w:rFonts w:hint="eastAsia" w:ascii="宋体" w:hAnsi="宋体" w:eastAsia="宋体" w:cs="宋体"/>
                <w:color w:val="000000"/>
                <w:spacing w:val="0"/>
                <w:position w:val="0"/>
                <w:sz w:val="24"/>
                <w:szCs w:val="24"/>
              </w:rPr>
            </w:pPr>
          </w:p>
        </w:tc>
      </w:tr>
      <w:tr w14:paraId="5426A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0"/>
            <w:vAlign w:val="center"/>
          </w:tcPr>
          <w:p w14:paraId="0B11F15F">
            <w:pPr>
              <w:rPr>
                <w:rFonts w:hint="eastAsia" w:ascii="宋体" w:hAnsi="宋体" w:eastAsia="宋体" w:cs="宋体"/>
                <w:color w:val="000000"/>
                <w:spacing w:val="0"/>
                <w:position w:val="0"/>
                <w:sz w:val="24"/>
                <w:szCs w:val="24"/>
              </w:rPr>
            </w:pPr>
          </w:p>
        </w:tc>
        <w:tc>
          <w:tcPr>
            <w:tcW w:w="7014" w:type="dxa"/>
            <w:tcBorders>
              <w:left w:val="single" w:color="000000" w:sz="4" w:space="0"/>
              <w:right w:val="single" w:color="000000" w:sz="4" w:space="0"/>
            </w:tcBorders>
            <w:noWrap w:val="0"/>
            <w:vAlign w:val="center"/>
          </w:tcPr>
          <w:p w14:paraId="755F0BCE">
            <w:pPr>
              <w:rPr>
                <w:rFonts w:hint="eastAsia" w:ascii="宋体" w:hAnsi="宋体" w:eastAsia="宋体" w:cs="宋体"/>
                <w:color w:val="000000"/>
                <w:spacing w:val="0"/>
                <w:position w:val="0"/>
                <w:sz w:val="24"/>
                <w:szCs w:val="24"/>
              </w:rPr>
            </w:pPr>
          </w:p>
        </w:tc>
      </w:tr>
      <w:tr w14:paraId="5E030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0"/>
            <w:vAlign w:val="center"/>
          </w:tcPr>
          <w:p w14:paraId="724711F6">
            <w:pPr>
              <w:rPr>
                <w:rFonts w:hint="eastAsia" w:ascii="宋体" w:hAnsi="宋体" w:eastAsia="宋体" w:cs="宋体"/>
                <w:color w:val="000000"/>
                <w:spacing w:val="0"/>
                <w:position w:val="0"/>
                <w:sz w:val="24"/>
                <w:szCs w:val="24"/>
              </w:rPr>
            </w:pPr>
          </w:p>
        </w:tc>
        <w:tc>
          <w:tcPr>
            <w:tcW w:w="7014" w:type="dxa"/>
            <w:tcBorders>
              <w:left w:val="single" w:color="000000" w:sz="4" w:space="0"/>
              <w:right w:val="single" w:color="000000" w:sz="4" w:space="0"/>
            </w:tcBorders>
            <w:noWrap w:val="0"/>
            <w:vAlign w:val="center"/>
          </w:tcPr>
          <w:p w14:paraId="09056D4A">
            <w:pPr>
              <w:rPr>
                <w:rFonts w:hint="eastAsia" w:ascii="宋体" w:hAnsi="宋体" w:eastAsia="宋体" w:cs="宋体"/>
                <w:color w:val="000000"/>
                <w:spacing w:val="0"/>
                <w:position w:val="0"/>
                <w:sz w:val="24"/>
                <w:szCs w:val="24"/>
              </w:rPr>
            </w:pPr>
          </w:p>
        </w:tc>
      </w:tr>
      <w:tr w14:paraId="02391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0"/>
            <w:vAlign w:val="center"/>
          </w:tcPr>
          <w:p w14:paraId="38F003A0">
            <w:pPr>
              <w:rPr>
                <w:rFonts w:hint="eastAsia" w:ascii="宋体" w:hAnsi="宋体" w:eastAsia="宋体" w:cs="宋体"/>
                <w:color w:val="000000"/>
                <w:spacing w:val="0"/>
                <w:position w:val="0"/>
                <w:sz w:val="24"/>
                <w:szCs w:val="24"/>
              </w:rPr>
            </w:pPr>
          </w:p>
        </w:tc>
        <w:tc>
          <w:tcPr>
            <w:tcW w:w="7014" w:type="dxa"/>
            <w:tcBorders>
              <w:left w:val="single" w:color="000000" w:sz="4" w:space="0"/>
              <w:right w:val="single" w:color="000000" w:sz="4" w:space="0"/>
            </w:tcBorders>
            <w:noWrap w:val="0"/>
            <w:vAlign w:val="center"/>
          </w:tcPr>
          <w:p w14:paraId="723AF6CD">
            <w:pPr>
              <w:rPr>
                <w:rFonts w:hint="eastAsia" w:ascii="宋体" w:hAnsi="宋体" w:eastAsia="宋体" w:cs="宋体"/>
                <w:color w:val="000000"/>
                <w:spacing w:val="0"/>
                <w:position w:val="0"/>
                <w:sz w:val="24"/>
                <w:szCs w:val="24"/>
              </w:rPr>
            </w:pPr>
          </w:p>
        </w:tc>
      </w:tr>
      <w:tr w14:paraId="0E55C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0"/>
            <w:vAlign w:val="center"/>
          </w:tcPr>
          <w:p w14:paraId="69C3584B">
            <w:pPr>
              <w:rPr>
                <w:rFonts w:hint="eastAsia" w:ascii="宋体" w:hAnsi="宋体" w:eastAsia="宋体" w:cs="宋体"/>
                <w:color w:val="000000"/>
                <w:spacing w:val="0"/>
                <w:position w:val="0"/>
                <w:sz w:val="24"/>
                <w:szCs w:val="24"/>
              </w:rPr>
            </w:pPr>
          </w:p>
        </w:tc>
        <w:tc>
          <w:tcPr>
            <w:tcW w:w="7014" w:type="dxa"/>
            <w:tcBorders>
              <w:left w:val="single" w:color="000000" w:sz="4" w:space="0"/>
              <w:right w:val="single" w:color="000000" w:sz="4" w:space="0"/>
            </w:tcBorders>
            <w:noWrap w:val="0"/>
            <w:vAlign w:val="center"/>
          </w:tcPr>
          <w:p w14:paraId="4F344BA0">
            <w:pPr>
              <w:rPr>
                <w:rFonts w:hint="eastAsia" w:ascii="宋体" w:hAnsi="宋体" w:eastAsia="宋体" w:cs="宋体"/>
                <w:color w:val="000000"/>
                <w:spacing w:val="0"/>
                <w:position w:val="0"/>
                <w:sz w:val="24"/>
                <w:szCs w:val="24"/>
              </w:rPr>
            </w:pPr>
          </w:p>
        </w:tc>
      </w:tr>
      <w:tr w14:paraId="06070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0"/>
            <w:vAlign w:val="center"/>
          </w:tcPr>
          <w:p w14:paraId="2F23DE62">
            <w:pPr>
              <w:rPr>
                <w:rFonts w:hint="eastAsia" w:ascii="宋体" w:hAnsi="宋体" w:eastAsia="宋体" w:cs="宋体"/>
                <w:color w:val="000000"/>
                <w:spacing w:val="0"/>
                <w:position w:val="0"/>
                <w:sz w:val="24"/>
                <w:szCs w:val="24"/>
              </w:rPr>
            </w:pPr>
          </w:p>
        </w:tc>
        <w:tc>
          <w:tcPr>
            <w:tcW w:w="7014" w:type="dxa"/>
            <w:tcBorders>
              <w:left w:val="single" w:color="000000" w:sz="4" w:space="0"/>
              <w:right w:val="single" w:color="000000" w:sz="4" w:space="0"/>
            </w:tcBorders>
            <w:noWrap w:val="0"/>
            <w:vAlign w:val="center"/>
          </w:tcPr>
          <w:p w14:paraId="39371870">
            <w:pPr>
              <w:rPr>
                <w:rFonts w:hint="eastAsia" w:ascii="宋体" w:hAnsi="宋体" w:eastAsia="宋体" w:cs="宋体"/>
                <w:color w:val="000000"/>
                <w:spacing w:val="0"/>
                <w:position w:val="0"/>
                <w:sz w:val="24"/>
                <w:szCs w:val="24"/>
              </w:rPr>
            </w:pPr>
          </w:p>
        </w:tc>
      </w:tr>
      <w:tr w14:paraId="06016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0"/>
            <w:vAlign w:val="center"/>
          </w:tcPr>
          <w:p w14:paraId="4DEE9680">
            <w:pPr>
              <w:rPr>
                <w:rFonts w:hint="eastAsia" w:ascii="宋体" w:hAnsi="宋体" w:eastAsia="宋体" w:cs="宋体"/>
                <w:color w:val="000000"/>
                <w:spacing w:val="0"/>
                <w:position w:val="0"/>
                <w:sz w:val="24"/>
                <w:szCs w:val="24"/>
              </w:rPr>
            </w:pPr>
          </w:p>
        </w:tc>
        <w:tc>
          <w:tcPr>
            <w:tcW w:w="7014" w:type="dxa"/>
            <w:tcBorders>
              <w:left w:val="single" w:color="000000" w:sz="4" w:space="0"/>
              <w:right w:val="single" w:color="000000" w:sz="4" w:space="0"/>
            </w:tcBorders>
            <w:noWrap w:val="0"/>
            <w:vAlign w:val="center"/>
          </w:tcPr>
          <w:p w14:paraId="47399F15">
            <w:pPr>
              <w:rPr>
                <w:rFonts w:hint="eastAsia" w:ascii="宋体" w:hAnsi="宋体" w:eastAsia="宋体" w:cs="宋体"/>
                <w:color w:val="000000"/>
                <w:spacing w:val="0"/>
                <w:position w:val="0"/>
                <w:sz w:val="24"/>
                <w:szCs w:val="24"/>
              </w:rPr>
            </w:pPr>
          </w:p>
        </w:tc>
      </w:tr>
      <w:tr w14:paraId="708F7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9" w:hRule="atLeast"/>
          <w:jc w:val="center"/>
        </w:trPr>
        <w:tc>
          <w:tcPr>
            <w:tcW w:w="1356" w:type="dxa"/>
            <w:tcBorders>
              <w:right w:val="single" w:color="000000" w:sz="4" w:space="0"/>
            </w:tcBorders>
            <w:noWrap w:val="0"/>
            <w:vAlign w:val="center"/>
          </w:tcPr>
          <w:p w14:paraId="11E18F92">
            <w:pPr>
              <w:rPr>
                <w:rFonts w:hint="eastAsia" w:ascii="宋体" w:hAnsi="宋体" w:eastAsia="宋体" w:cs="宋体"/>
                <w:color w:val="000000"/>
                <w:spacing w:val="0"/>
                <w:position w:val="0"/>
                <w:sz w:val="24"/>
                <w:szCs w:val="24"/>
              </w:rPr>
            </w:pPr>
          </w:p>
        </w:tc>
        <w:tc>
          <w:tcPr>
            <w:tcW w:w="7014" w:type="dxa"/>
            <w:tcBorders>
              <w:left w:val="single" w:color="000000" w:sz="4" w:space="0"/>
              <w:right w:val="single" w:color="000000" w:sz="4" w:space="0"/>
            </w:tcBorders>
            <w:noWrap w:val="0"/>
            <w:vAlign w:val="center"/>
          </w:tcPr>
          <w:p w14:paraId="5F6D1C2B">
            <w:pPr>
              <w:rPr>
                <w:rFonts w:hint="eastAsia" w:ascii="宋体" w:hAnsi="宋体" w:eastAsia="宋体" w:cs="宋体"/>
                <w:color w:val="000000"/>
                <w:spacing w:val="0"/>
                <w:position w:val="0"/>
                <w:sz w:val="24"/>
                <w:szCs w:val="24"/>
              </w:rPr>
            </w:pPr>
          </w:p>
        </w:tc>
      </w:tr>
    </w:tbl>
    <w:p w14:paraId="403EEA27">
      <w:pPr>
        <w:spacing w:line="254" w:lineRule="auto"/>
        <w:jc w:val="center"/>
        <w:rPr>
          <w:rFonts w:hint="eastAsia"/>
          <w:b/>
          <w:bCs/>
          <w:color w:val="000000"/>
          <w:sz w:val="24"/>
          <w:szCs w:val="24"/>
        </w:rPr>
      </w:pPr>
    </w:p>
    <w:p w14:paraId="38CED29E">
      <w:pPr>
        <w:spacing w:line="254" w:lineRule="auto"/>
        <w:jc w:val="center"/>
        <w:rPr>
          <w:rFonts w:hint="eastAsia"/>
          <w:b/>
          <w:bCs/>
          <w:color w:val="000000"/>
          <w:sz w:val="24"/>
          <w:szCs w:val="24"/>
        </w:rPr>
      </w:pPr>
    </w:p>
    <w:p w14:paraId="73CD042D">
      <w:pPr>
        <w:spacing w:line="254" w:lineRule="auto"/>
        <w:jc w:val="center"/>
        <w:rPr>
          <w:rFonts w:hint="eastAsia"/>
          <w:b/>
          <w:bCs/>
          <w:color w:val="000000"/>
          <w:sz w:val="24"/>
          <w:szCs w:val="24"/>
        </w:rPr>
      </w:pPr>
    </w:p>
    <w:p w14:paraId="5D269CA7">
      <w:pPr>
        <w:jc w:val="both"/>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5FF22579">
      <w:pPr>
        <w:spacing w:line="360" w:lineRule="auto"/>
        <w:jc w:val="center"/>
        <w:outlineLvl w:val="0"/>
        <w:rPr>
          <w:rFonts w:hint="eastAsia" w:ascii="宋体" w:hAnsi="宋体" w:eastAsia="宋体" w:cs="宋体"/>
          <w:b/>
          <w:color w:val="auto"/>
          <w:sz w:val="28"/>
          <w:highlight w:val="none"/>
        </w:rPr>
      </w:pPr>
      <w:bookmarkStart w:id="89" w:name="_Toc10214"/>
      <w:r>
        <w:rPr>
          <w:rFonts w:hint="eastAsia" w:ascii="宋体" w:hAnsi="宋体" w:eastAsia="宋体" w:cs="宋体"/>
          <w:b/>
          <w:color w:val="auto"/>
          <w:sz w:val="28"/>
          <w:highlight w:val="none"/>
        </w:rPr>
        <w:t>第六章  响应文件格式</w:t>
      </w:r>
      <w:bookmarkEnd w:id="88"/>
      <w:bookmarkEnd w:id="89"/>
    </w:p>
    <w:p w14:paraId="139D6032">
      <w:pPr>
        <w:spacing w:line="900" w:lineRule="exact"/>
        <w:jc w:val="center"/>
        <w:rPr>
          <w:rFonts w:hint="eastAsia" w:ascii="宋体" w:hAnsi="宋体" w:eastAsia="宋体" w:cs="宋体"/>
          <w:b/>
          <w:color w:val="auto"/>
          <w:sz w:val="72"/>
          <w:highlight w:val="none"/>
        </w:rPr>
      </w:pPr>
    </w:p>
    <w:p w14:paraId="16287E45">
      <w:pPr>
        <w:spacing w:line="900" w:lineRule="exact"/>
        <w:jc w:val="center"/>
        <w:outlineLvl w:val="2"/>
        <w:rPr>
          <w:rFonts w:hint="eastAsia" w:ascii="宋体" w:hAnsi="宋体" w:eastAsia="宋体" w:cs="宋体"/>
          <w:b/>
          <w:color w:val="auto"/>
          <w:sz w:val="72"/>
          <w:highlight w:val="none"/>
        </w:rPr>
      </w:pPr>
      <w:r>
        <w:rPr>
          <w:rFonts w:hint="eastAsia" w:ascii="宋体" w:hAnsi="宋体" w:eastAsia="宋体" w:cs="宋体"/>
          <w:b/>
          <w:color w:val="auto"/>
          <w:sz w:val="72"/>
          <w:highlight w:val="none"/>
        </w:rPr>
        <w:t>响</w:t>
      </w:r>
    </w:p>
    <w:p w14:paraId="7D312328">
      <w:pPr>
        <w:spacing w:line="900" w:lineRule="exact"/>
        <w:jc w:val="center"/>
        <w:rPr>
          <w:rFonts w:hint="eastAsia" w:ascii="宋体" w:hAnsi="宋体" w:eastAsia="宋体" w:cs="宋体"/>
          <w:b/>
          <w:color w:val="auto"/>
          <w:sz w:val="72"/>
          <w:highlight w:val="none"/>
        </w:rPr>
      </w:pPr>
    </w:p>
    <w:p w14:paraId="17359DAB">
      <w:pPr>
        <w:spacing w:line="900" w:lineRule="exact"/>
        <w:jc w:val="center"/>
        <w:outlineLvl w:val="2"/>
        <w:rPr>
          <w:rFonts w:hint="eastAsia" w:ascii="宋体" w:hAnsi="宋体" w:eastAsia="宋体" w:cs="宋体"/>
          <w:b/>
          <w:color w:val="auto"/>
          <w:sz w:val="72"/>
          <w:highlight w:val="none"/>
        </w:rPr>
      </w:pPr>
      <w:r>
        <w:rPr>
          <w:rFonts w:hint="eastAsia" w:ascii="宋体" w:hAnsi="宋体" w:eastAsia="宋体" w:cs="宋体"/>
          <w:b/>
          <w:color w:val="auto"/>
          <w:sz w:val="72"/>
          <w:highlight w:val="none"/>
        </w:rPr>
        <w:t>应</w:t>
      </w:r>
    </w:p>
    <w:p w14:paraId="1FDC30A8">
      <w:pPr>
        <w:spacing w:line="900" w:lineRule="exact"/>
        <w:jc w:val="center"/>
        <w:rPr>
          <w:rFonts w:hint="eastAsia" w:ascii="宋体" w:hAnsi="宋体" w:eastAsia="宋体" w:cs="宋体"/>
          <w:b/>
          <w:color w:val="auto"/>
          <w:sz w:val="72"/>
          <w:highlight w:val="none"/>
        </w:rPr>
      </w:pPr>
    </w:p>
    <w:p w14:paraId="371E836F">
      <w:pPr>
        <w:spacing w:line="900" w:lineRule="exact"/>
        <w:jc w:val="center"/>
        <w:outlineLvl w:val="2"/>
        <w:rPr>
          <w:rFonts w:hint="eastAsia" w:ascii="宋体" w:hAnsi="宋体" w:eastAsia="宋体" w:cs="宋体"/>
          <w:b/>
          <w:color w:val="auto"/>
          <w:sz w:val="72"/>
          <w:highlight w:val="none"/>
        </w:rPr>
      </w:pPr>
      <w:r>
        <w:rPr>
          <w:rFonts w:hint="eastAsia" w:ascii="宋体" w:hAnsi="宋体" w:eastAsia="宋体" w:cs="宋体"/>
          <w:b/>
          <w:color w:val="auto"/>
          <w:sz w:val="72"/>
          <w:highlight w:val="none"/>
        </w:rPr>
        <w:t>文</w:t>
      </w:r>
    </w:p>
    <w:p w14:paraId="4FB29D96">
      <w:pPr>
        <w:spacing w:line="900" w:lineRule="exact"/>
        <w:jc w:val="center"/>
        <w:rPr>
          <w:rFonts w:hint="eastAsia" w:ascii="宋体" w:hAnsi="宋体" w:eastAsia="宋体" w:cs="宋体"/>
          <w:b/>
          <w:color w:val="auto"/>
          <w:sz w:val="72"/>
          <w:highlight w:val="none"/>
        </w:rPr>
      </w:pPr>
    </w:p>
    <w:p w14:paraId="154ADA7B">
      <w:pPr>
        <w:jc w:val="center"/>
        <w:outlineLvl w:val="2"/>
        <w:rPr>
          <w:rFonts w:hint="eastAsia" w:ascii="宋体" w:hAnsi="宋体" w:eastAsia="宋体" w:cs="宋体"/>
          <w:b/>
          <w:color w:val="auto"/>
          <w:sz w:val="72"/>
          <w:highlight w:val="none"/>
        </w:rPr>
      </w:pPr>
      <w:r>
        <w:rPr>
          <w:rFonts w:hint="eastAsia" w:ascii="宋体" w:hAnsi="宋体" w:eastAsia="宋体" w:cs="宋体"/>
          <w:b/>
          <w:color w:val="auto"/>
          <w:sz w:val="72"/>
          <w:highlight w:val="none"/>
        </w:rPr>
        <w:t>件</w:t>
      </w:r>
    </w:p>
    <w:p w14:paraId="1A5EF3D1">
      <w:pPr>
        <w:spacing w:after="120" w:afterLines="50"/>
        <w:jc w:val="center"/>
        <w:rPr>
          <w:rFonts w:hint="eastAsia" w:ascii="宋体" w:hAnsi="宋体" w:eastAsia="宋体" w:cs="宋体"/>
          <w:b/>
          <w:color w:val="auto"/>
          <w:sz w:val="72"/>
          <w:highlight w:val="none"/>
        </w:rPr>
      </w:pPr>
    </w:p>
    <w:p w14:paraId="53171565">
      <w:pPr>
        <w:pStyle w:val="8"/>
        <w:spacing w:after="0" w:line="360" w:lineRule="auto"/>
        <w:ind w:firstLine="643" w:firstLineChars="200"/>
        <w:jc w:val="center"/>
        <w:rPr>
          <w:rFonts w:hint="eastAsia" w:ascii="宋体" w:hAnsi="宋体" w:eastAsia="宋体" w:cs="宋体"/>
          <w:color w:val="auto"/>
          <w:sz w:val="24"/>
          <w:szCs w:val="18"/>
          <w:highlight w:val="none"/>
          <w:lang w:val="en-US"/>
        </w:rPr>
      </w:pPr>
      <w:bookmarkStart w:id="90" w:name="_Toc32506"/>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u w:val="single"/>
        </w:rPr>
        <w:t xml:space="preserve">   </w:t>
      </w:r>
      <w:r>
        <w:rPr>
          <w:rFonts w:hint="eastAsia" w:ascii="宋体" w:hAnsi="宋体" w:eastAsia="宋体" w:cs="宋体"/>
          <w:b/>
          <w:color w:val="auto"/>
          <w:sz w:val="32"/>
          <w:szCs w:val="32"/>
          <w:highlight w:val="none"/>
        </w:rPr>
        <w:t>包】</w:t>
      </w:r>
      <w:bookmarkEnd w:id="90"/>
      <w:r>
        <w:rPr>
          <w:rFonts w:hint="eastAsia" w:ascii="宋体" w:hAnsi="宋体" w:eastAsia="宋体" w:cs="宋体"/>
          <w:i/>
          <w:iCs/>
          <w:color w:val="auto"/>
          <w:sz w:val="24"/>
          <w:szCs w:val="18"/>
          <w:highlight w:val="none"/>
          <w:lang w:val="en-US"/>
        </w:rPr>
        <w:t>（如不分包，请删去本行）</w:t>
      </w:r>
    </w:p>
    <w:p w14:paraId="3DD4C357">
      <w:pPr>
        <w:spacing w:after="120" w:afterLines="50" w:line="500" w:lineRule="exact"/>
        <w:rPr>
          <w:rFonts w:hint="eastAsia" w:ascii="宋体" w:hAnsi="宋体" w:eastAsia="宋体" w:cs="宋体"/>
          <w:b/>
          <w:color w:val="auto"/>
          <w:sz w:val="72"/>
          <w:highlight w:val="none"/>
        </w:rPr>
      </w:pPr>
    </w:p>
    <w:p w14:paraId="68B1B85D">
      <w:pPr>
        <w:spacing w:after="120" w:afterLines="50" w:line="500" w:lineRule="exact"/>
        <w:jc w:val="center"/>
        <w:rPr>
          <w:rFonts w:hint="eastAsia" w:ascii="宋体" w:hAnsi="宋体" w:eastAsia="宋体" w:cs="宋体"/>
          <w:b/>
          <w:color w:val="auto"/>
          <w:sz w:val="28"/>
          <w:szCs w:val="28"/>
          <w:highlight w:val="none"/>
        </w:rPr>
      </w:pPr>
    </w:p>
    <w:p w14:paraId="340500F3">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textAlignment w:val="auto"/>
        <w:rPr>
          <w:rFonts w:hint="eastAsia" w:ascii="宋体" w:hAnsi="宋体" w:eastAsia="宋体" w:cs="宋体"/>
          <w:b/>
          <w:color w:val="auto"/>
          <w:spacing w:val="20"/>
          <w:kern w:val="0"/>
          <w:sz w:val="32"/>
          <w:szCs w:val="32"/>
          <w:highlight w:val="none"/>
        </w:rPr>
      </w:pPr>
      <w:r>
        <w:rPr>
          <w:rFonts w:hint="eastAsia" w:ascii="宋体" w:hAnsi="宋体" w:eastAsia="宋体" w:cs="宋体"/>
          <w:b/>
          <w:color w:val="auto"/>
          <w:sz w:val="32"/>
          <w:highlight w:val="none"/>
        </w:rPr>
        <w:t>项目名称：</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627498DB">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textAlignment w:val="auto"/>
        <w:rPr>
          <w:rFonts w:hint="eastAsia" w:ascii="宋体" w:hAnsi="宋体" w:eastAsia="宋体" w:cs="宋体"/>
          <w:b/>
          <w:color w:val="auto"/>
          <w:sz w:val="32"/>
          <w:highlight w:val="none"/>
          <w:u w:val="single"/>
        </w:rPr>
      </w:pPr>
      <w:r>
        <w:rPr>
          <w:rFonts w:hint="eastAsia" w:ascii="宋体" w:hAnsi="宋体" w:eastAsia="宋体" w:cs="宋体"/>
          <w:b/>
          <w:color w:val="auto"/>
          <w:sz w:val="32"/>
          <w:highlight w:val="none"/>
        </w:rPr>
        <w:t>项目编号：</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69C0FB54">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textAlignment w:val="auto"/>
        <w:rPr>
          <w:rFonts w:hint="eastAsia" w:ascii="宋体" w:hAnsi="宋体" w:eastAsia="宋体" w:cs="宋体"/>
          <w:b/>
          <w:color w:val="auto"/>
          <w:sz w:val="32"/>
          <w:highlight w:val="none"/>
          <w:u w:val="single"/>
        </w:rPr>
      </w:pPr>
      <w:r>
        <w:rPr>
          <w:rFonts w:hint="eastAsia" w:ascii="宋体" w:hAnsi="宋体" w:eastAsia="宋体" w:cs="宋体"/>
          <w:b/>
          <w:color w:val="auto"/>
          <w:sz w:val="32"/>
          <w:highlight w:val="none"/>
        </w:rPr>
        <w:t>供 应 商：</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eastAsia="zh-CN"/>
        </w:rPr>
        <w:t>（</w:t>
      </w:r>
      <w:r>
        <w:rPr>
          <w:rFonts w:hint="eastAsia" w:ascii="宋体" w:hAnsi="宋体" w:eastAsia="宋体" w:cs="宋体"/>
          <w:b/>
          <w:color w:val="auto"/>
          <w:sz w:val="32"/>
          <w:highlight w:val="none"/>
          <w:u w:val="single"/>
          <w:lang w:val="en-US" w:eastAsia="zh-CN"/>
        </w:rPr>
        <w:t>盖章</w:t>
      </w:r>
      <w:r>
        <w:rPr>
          <w:rFonts w:hint="eastAsia" w:ascii="宋体" w:hAnsi="宋体" w:eastAsia="宋体" w:cs="宋体"/>
          <w:b/>
          <w:color w:val="auto"/>
          <w:sz w:val="32"/>
          <w:highlight w:val="none"/>
          <w:u w:val="single"/>
          <w:lang w:eastAsia="zh-CN"/>
        </w:rPr>
        <w:t>）</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10F31EC7">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textAlignment w:val="auto"/>
        <w:rPr>
          <w:rFonts w:hint="eastAsia" w:ascii="宋体" w:hAnsi="宋体" w:eastAsia="宋体" w:cs="宋体"/>
          <w:b/>
          <w:color w:val="auto"/>
          <w:sz w:val="32"/>
          <w:highlight w:val="none"/>
          <w:u w:val="single"/>
        </w:rPr>
      </w:pPr>
    </w:p>
    <w:p w14:paraId="6461DB58">
      <w:pPr>
        <w:spacing w:after="120" w:afterLines="50" w:line="500" w:lineRule="exact"/>
        <w:jc w:val="center"/>
        <w:rPr>
          <w:rFonts w:hint="eastAsia" w:ascii="宋体" w:hAnsi="宋体" w:eastAsia="宋体" w:cs="宋体"/>
          <w:b/>
          <w:color w:val="auto"/>
          <w:sz w:val="28"/>
          <w:highlight w:val="none"/>
        </w:rPr>
      </w:pP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bookmarkStart w:id="91" w:name="_Toc8037"/>
      <w:r>
        <w:rPr>
          <w:rFonts w:hint="eastAsia" w:ascii="宋体" w:hAnsi="宋体" w:eastAsia="宋体" w:cs="宋体"/>
          <w:b/>
          <w:color w:val="auto"/>
          <w:sz w:val="32"/>
          <w:highlight w:val="none"/>
        </w:rPr>
        <w:t>年</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rPr>
        <w:t>月</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rPr>
        <w:t>日</w:t>
      </w:r>
      <w:bookmarkEnd w:id="91"/>
      <w:r>
        <w:rPr>
          <w:rFonts w:hint="eastAsia" w:ascii="宋体" w:hAnsi="宋体" w:eastAsia="宋体" w:cs="宋体"/>
          <w:b/>
          <w:color w:val="auto"/>
          <w:sz w:val="28"/>
          <w:highlight w:val="none"/>
        </w:rPr>
        <w:br w:type="page"/>
      </w:r>
    </w:p>
    <w:p w14:paraId="31A62B81">
      <w:pPr>
        <w:spacing w:line="360" w:lineRule="auto"/>
        <w:jc w:val="center"/>
        <w:rPr>
          <w:rFonts w:hint="eastAsia" w:ascii="宋体" w:hAnsi="宋体" w:eastAsia="宋体" w:cs="宋体"/>
          <w:b w:val="0"/>
          <w:bCs/>
          <w:color w:val="auto"/>
          <w:sz w:val="24"/>
          <w:highlight w:val="none"/>
          <w:lang w:eastAsia="zh-CN"/>
        </w:rPr>
      </w:pPr>
      <w:bookmarkStart w:id="92" w:name="_Toc28960"/>
      <w:bookmarkStart w:id="93" w:name="_Toc17986"/>
      <w:bookmarkStart w:id="94" w:name="_Toc461056631"/>
      <w:bookmarkStart w:id="95" w:name="_Toc461053086"/>
      <w:bookmarkStart w:id="96" w:name="_Toc26791"/>
      <w:bookmarkStart w:id="97" w:name="_Toc32353"/>
      <w:bookmarkStart w:id="98" w:name="_Toc520983587"/>
      <w:bookmarkStart w:id="99" w:name="_Toc9708"/>
      <w:bookmarkStart w:id="100" w:name="_Toc5881"/>
      <w:r>
        <w:rPr>
          <w:rFonts w:hint="eastAsia" w:ascii="宋体" w:hAnsi="宋体" w:eastAsia="宋体" w:cs="宋体"/>
          <w:b/>
          <w:color w:val="auto"/>
          <w:sz w:val="24"/>
          <w:highlight w:val="none"/>
          <w:lang w:val="en-US" w:eastAsia="zh-CN"/>
        </w:rPr>
        <w:t>一、</w:t>
      </w:r>
      <w:bookmarkStart w:id="101" w:name="_Toc6120"/>
      <w:bookmarkStart w:id="102" w:name="_Toc6441"/>
      <w:r>
        <w:rPr>
          <w:rFonts w:hint="eastAsia" w:ascii="宋体" w:hAnsi="宋体" w:eastAsia="宋体" w:cs="宋体"/>
          <w:b/>
          <w:color w:val="auto"/>
          <w:sz w:val="24"/>
          <w:highlight w:val="none"/>
          <w:lang w:val="en-US" w:eastAsia="zh-CN"/>
        </w:rPr>
        <w:t>供应商基本情况</w:t>
      </w:r>
    </w:p>
    <w:p w14:paraId="31831994">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val="0"/>
          <w:bCs/>
          <w:color w:val="auto"/>
          <w:sz w:val="24"/>
          <w:highlight w:val="none"/>
          <w:lang w:eastAsia="zh-CN"/>
        </w:rPr>
        <w:t>（</w:t>
      </w:r>
      <w:r>
        <w:rPr>
          <w:rFonts w:hint="eastAsia" w:ascii="宋体" w:hAnsi="宋体" w:eastAsia="宋体" w:cs="宋体"/>
          <w:b w:val="0"/>
          <w:bCs/>
          <w:color w:val="auto"/>
          <w:sz w:val="24"/>
          <w:highlight w:val="none"/>
          <w:lang w:val="en-US" w:eastAsia="zh-CN"/>
        </w:rPr>
        <w:t>营业执照资质证书等，供应商可根据自身情况另行提供单位简介等相关材料</w:t>
      </w:r>
      <w:r>
        <w:rPr>
          <w:rFonts w:hint="eastAsia" w:ascii="宋体" w:hAnsi="宋体" w:eastAsia="宋体" w:cs="宋体"/>
          <w:b w:val="0"/>
          <w:bCs/>
          <w:color w:val="auto"/>
          <w:sz w:val="24"/>
          <w:highlight w:val="none"/>
          <w:lang w:eastAsia="zh-CN"/>
        </w:rPr>
        <w:t>）</w:t>
      </w:r>
    </w:p>
    <w:p w14:paraId="7D06F863">
      <w:pPr>
        <w:spacing w:line="360" w:lineRule="auto"/>
        <w:jc w:val="center"/>
        <w:outlineLvl w:val="1"/>
        <w:rPr>
          <w:rFonts w:hint="eastAsia" w:ascii="宋体" w:hAnsi="宋体" w:eastAsia="宋体" w:cs="宋体"/>
          <w:b/>
          <w:color w:val="auto"/>
          <w:sz w:val="24"/>
          <w:highlight w:val="none"/>
        </w:rPr>
      </w:pPr>
    </w:p>
    <w:p w14:paraId="0EFF62B4">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09CC3BCB">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二、</w:t>
      </w:r>
      <w:bookmarkEnd w:id="101"/>
      <w:bookmarkEnd w:id="102"/>
      <w:r>
        <w:rPr>
          <w:rFonts w:hint="eastAsia" w:ascii="宋体" w:hAnsi="宋体" w:eastAsia="宋体" w:cs="宋体"/>
          <w:b/>
          <w:color w:val="auto"/>
          <w:sz w:val="24"/>
          <w:highlight w:val="none"/>
        </w:rPr>
        <w:t>响应函</w:t>
      </w:r>
    </w:p>
    <w:p w14:paraId="211E7584">
      <w:pPr>
        <w:pStyle w:val="14"/>
        <w:spacing w:line="360" w:lineRule="auto"/>
        <w:rPr>
          <w:rFonts w:hint="eastAsia" w:ascii="宋体" w:hAnsi="宋体" w:eastAsia="宋体" w:cs="宋体"/>
          <w:color w:val="auto"/>
          <w:sz w:val="24"/>
          <w:highlight w:val="none"/>
        </w:rPr>
      </w:pPr>
    </w:p>
    <w:p w14:paraId="4D171CA2">
      <w:pPr>
        <w:pStyle w:val="14"/>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致：</w:t>
      </w:r>
      <w:r>
        <w:rPr>
          <w:rFonts w:hint="eastAsia" w:ascii="宋体" w:hAnsi="宋体" w:cs="宋体"/>
          <w:color w:val="auto"/>
          <w:sz w:val="24"/>
          <w:highlight w:val="none"/>
          <w:u w:val="single"/>
          <w:lang w:eastAsia="zh-CN"/>
        </w:rPr>
        <w:t>发包人</w:t>
      </w:r>
      <w:r>
        <w:rPr>
          <w:rFonts w:hint="eastAsia" w:ascii="宋体" w:hAnsi="宋体" w:eastAsia="宋体" w:cs="宋体"/>
          <w:color w:val="auto"/>
          <w:sz w:val="24"/>
          <w:highlight w:val="none"/>
          <w:u w:val="single"/>
          <w:lang w:val="en-US" w:eastAsia="zh-CN"/>
        </w:rPr>
        <w:t>名称</w:t>
      </w:r>
    </w:p>
    <w:p w14:paraId="4204C6C9">
      <w:pPr>
        <w:spacing w:line="360" w:lineRule="auto"/>
        <w:ind w:firstLine="480" w:firstLineChars="200"/>
        <w:rPr>
          <w:rFonts w:hint="eastAsia" w:ascii="宋体" w:hAnsi="宋体" w:eastAsia="宋体" w:cs="宋体"/>
          <w:dstrike/>
          <w:color w:val="auto"/>
          <w:sz w:val="24"/>
          <w:highlight w:val="none"/>
        </w:rPr>
      </w:pPr>
      <w:r>
        <w:rPr>
          <w:rFonts w:hint="eastAsia" w:ascii="宋体" w:hAnsi="宋体" w:eastAsia="宋体" w:cs="宋体"/>
          <w:color w:val="auto"/>
          <w:sz w:val="24"/>
          <w:highlight w:val="none"/>
        </w:rPr>
        <w:t>根据贵方的</w:t>
      </w:r>
      <w:r>
        <w:rPr>
          <w:rFonts w:hint="eastAsia" w:ascii="宋体" w:hAnsi="宋体" w:eastAsia="宋体" w:cs="宋体"/>
          <w:color w:val="auto"/>
          <w:sz w:val="24"/>
          <w:highlight w:val="none"/>
          <w:lang w:eastAsia="zh-CN"/>
        </w:rPr>
        <w:t>采购邀请</w:t>
      </w:r>
      <w:r>
        <w:rPr>
          <w:rFonts w:hint="eastAsia" w:ascii="宋体" w:hAnsi="宋体" w:eastAsia="宋体" w:cs="宋体"/>
          <w:color w:val="auto"/>
          <w:sz w:val="24"/>
          <w:highlight w:val="none"/>
        </w:rPr>
        <w:t>和</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，我方兹宣布同意如下：</w:t>
      </w:r>
    </w:p>
    <w:p w14:paraId="540C3A5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rPr>
        <w:t>我方根据</w:t>
      </w:r>
      <w:r>
        <w:rPr>
          <w:rFonts w:hint="eastAsia" w:ascii="宋体" w:hAnsi="宋体" w:cs="宋体"/>
          <w:color w:val="auto"/>
          <w:sz w:val="24"/>
          <w:szCs w:val="24"/>
          <w:highlight w:val="none"/>
          <w:lang w:eastAsia="zh-CN"/>
        </w:rPr>
        <w:t>发包文件</w:t>
      </w:r>
      <w:r>
        <w:rPr>
          <w:rFonts w:hint="eastAsia" w:ascii="宋体" w:hAnsi="宋体" w:eastAsia="宋体" w:cs="宋体"/>
          <w:color w:val="auto"/>
          <w:sz w:val="24"/>
          <w:szCs w:val="24"/>
          <w:highlight w:val="none"/>
        </w:rPr>
        <w:t>的规定，严格履行合同的责任和义务,并保证于买方要求的日期内完成，并通过买方验收。</w:t>
      </w:r>
    </w:p>
    <w:p w14:paraId="0C8DEDC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2.我方已详细审核全部</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，包括</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附件及更正公告（如有），我方正式认可并遵守本次</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，并对</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各项条款、规定及要求均无异议。</w:t>
      </w:r>
    </w:p>
    <w:p w14:paraId="7F05F83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3.我方同意从</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规定的</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日期起遵循本</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，并在</w:t>
      </w:r>
      <w:r>
        <w:rPr>
          <w:rFonts w:hint="eastAsia" w:ascii="宋体" w:hAnsi="宋体" w:cs="宋体"/>
          <w:color w:val="auto"/>
          <w:sz w:val="24"/>
          <w:highlight w:val="none"/>
          <w:lang w:eastAsia="zh-CN"/>
        </w:rPr>
        <w:t>发包文件</w:t>
      </w:r>
      <w:r>
        <w:rPr>
          <w:rFonts w:hint="eastAsia" w:ascii="宋体" w:hAnsi="宋体" w:eastAsia="宋体" w:cs="宋体"/>
          <w:color w:val="auto"/>
          <w:sz w:val="24"/>
          <w:highlight w:val="none"/>
        </w:rPr>
        <w:t>规定的</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有效期之前均具有约束力。</w:t>
      </w:r>
    </w:p>
    <w:p w14:paraId="794B30D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4.我方声明响应文件所提供的一切资料均真实无误、及时、有效，企业运营正常。由于我方提供资料不实而造成的责任和后果由我方承担。我方同意按照贵方提出的要求，提供与</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有关的任何证据、数据或资料。</w:t>
      </w:r>
    </w:p>
    <w:p w14:paraId="0C498F81">
      <w:pPr>
        <w:spacing w:line="360" w:lineRule="auto"/>
        <w:ind w:firstLine="480" w:firstLineChars="200"/>
        <w:rPr>
          <w:rFonts w:hint="eastAsia" w:ascii="宋体" w:hAnsi="宋体" w:eastAsia="宋体" w:cs="宋体"/>
          <w:color w:val="auto"/>
          <w:sz w:val="24"/>
          <w:highlight w:val="none"/>
        </w:rPr>
      </w:pPr>
    </w:p>
    <w:p w14:paraId="798ED3D7">
      <w:pPr>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lang w:val="en-US" w:eastAsia="zh-CN"/>
        </w:rPr>
        <w:t>盖章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50B75E71">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1A4781DE">
      <w:pPr>
        <w:spacing w:line="360" w:lineRule="auto"/>
        <w:ind w:firstLine="4800" w:firstLineChars="2000"/>
        <w:rPr>
          <w:rFonts w:hint="eastAsia" w:ascii="宋体" w:hAnsi="宋体" w:eastAsia="宋体" w:cs="宋体"/>
          <w:color w:val="auto"/>
          <w:sz w:val="24"/>
          <w:highlight w:val="none"/>
          <w:u w:val="single"/>
        </w:rPr>
      </w:pPr>
    </w:p>
    <w:p w14:paraId="221DF08A">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color w:val="auto"/>
          <w:sz w:val="24"/>
          <w:highlight w:val="none"/>
          <w:u w:val="single"/>
        </w:rPr>
        <w:br w:type="page"/>
      </w:r>
      <w:bookmarkStart w:id="103" w:name="_Toc18881"/>
      <w:r>
        <w:rPr>
          <w:rFonts w:hint="eastAsia" w:ascii="宋体" w:hAnsi="宋体" w:eastAsia="宋体" w:cs="宋体"/>
          <w:b/>
          <w:color w:val="auto"/>
          <w:sz w:val="24"/>
          <w:highlight w:val="none"/>
          <w:lang w:val="en-US" w:eastAsia="zh-CN"/>
        </w:rPr>
        <w:t>三</w:t>
      </w:r>
      <w:r>
        <w:rPr>
          <w:rFonts w:hint="eastAsia" w:ascii="宋体" w:hAnsi="宋体" w:eastAsia="宋体" w:cs="宋体"/>
          <w:b/>
          <w:color w:val="auto"/>
          <w:sz w:val="24"/>
          <w:highlight w:val="none"/>
        </w:rPr>
        <w:t>、授权书</w:t>
      </w:r>
    </w:p>
    <w:p w14:paraId="05F32435">
      <w:pPr>
        <w:spacing w:line="360" w:lineRule="auto"/>
        <w:jc w:val="center"/>
        <w:rPr>
          <w:rFonts w:hint="eastAsia" w:ascii="宋体" w:hAnsi="宋体" w:eastAsia="宋体" w:cs="宋体"/>
          <w:b/>
          <w:color w:val="auto"/>
          <w:sz w:val="24"/>
          <w:highlight w:val="none"/>
        </w:rPr>
      </w:pPr>
    </w:p>
    <w:p w14:paraId="1ABF584F">
      <w:pPr>
        <w:pStyle w:val="13"/>
        <w:snapToGrid w:val="0"/>
        <w:spacing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本授权书声明：</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（供应商名称）授权</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（供应商授权代表姓名）代表我方参加本项目</w:t>
      </w:r>
      <w:r>
        <w:rPr>
          <w:rFonts w:hint="eastAsia" w:ascii="宋体" w:hAnsi="宋体" w:eastAsia="宋体" w:cs="宋体"/>
          <w:bCs/>
          <w:color w:val="auto"/>
          <w:sz w:val="24"/>
          <w:szCs w:val="28"/>
          <w:highlight w:val="none"/>
        </w:rPr>
        <w:t>采购活动</w:t>
      </w:r>
      <w:r>
        <w:rPr>
          <w:rFonts w:hint="eastAsia" w:ascii="宋体" w:hAnsi="宋体" w:eastAsia="宋体" w:cs="宋体"/>
          <w:color w:val="auto"/>
          <w:sz w:val="24"/>
          <w:szCs w:val="28"/>
          <w:highlight w:val="none"/>
        </w:rPr>
        <w:t>，全权代表我方处理</w:t>
      </w:r>
      <w:r>
        <w:rPr>
          <w:rFonts w:hint="eastAsia" w:hAnsi="宋体" w:eastAsia="宋体" w:cs="宋体"/>
          <w:color w:val="auto"/>
          <w:sz w:val="24"/>
          <w:szCs w:val="28"/>
          <w:highlight w:val="none"/>
          <w:lang w:val="en-US" w:eastAsia="zh-CN"/>
        </w:rPr>
        <w:t>发包</w:t>
      </w:r>
      <w:r>
        <w:rPr>
          <w:rFonts w:hint="eastAsia" w:ascii="宋体" w:hAnsi="宋体" w:eastAsia="宋体" w:cs="宋体"/>
          <w:color w:val="auto"/>
          <w:sz w:val="24"/>
          <w:szCs w:val="28"/>
          <w:highlight w:val="none"/>
        </w:rPr>
        <w:t>过程的一切事宜，包括但不限于：提交响应文件、参与</w:t>
      </w:r>
      <w:r>
        <w:rPr>
          <w:rFonts w:hint="eastAsia" w:hAnsi="宋体" w:eastAsia="宋体" w:cs="宋体"/>
          <w:color w:val="auto"/>
          <w:sz w:val="24"/>
          <w:szCs w:val="28"/>
          <w:highlight w:val="none"/>
          <w:lang w:val="en-US" w:eastAsia="zh-CN"/>
        </w:rPr>
        <w:t>评审</w:t>
      </w:r>
      <w:r>
        <w:rPr>
          <w:rFonts w:hint="eastAsia" w:ascii="宋体" w:hAnsi="宋体" w:eastAsia="宋体" w:cs="宋体"/>
          <w:color w:val="auto"/>
          <w:sz w:val="24"/>
          <w:szCs w:val="28"/>
          <w:highlight w:val="none"/>
        </w:rPr>
        <w:t>、签约等。供应商授权代表在采购活动过程中所签署的一切文件和处理与之有关的一切事务，本公司均予以认可并对此承担责任。供应商授权代表无转委托权。特此授权。</w:t>
      </w:r>
    </w:p>
    <w:p w14:paraId="68E43707">
      <w:pPr>
        <w:pStyle w:val="13"/>
        <w:snapToGrid w:val="0"/>
        <w:spacing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本授权书自出具之日起生效。</w:t>
      </w:r>
    </w:p>
    <w:p w14:paraId="714C45DA">
      <w:pPr>
        <w:pStyle w:val="13"/>
        <w:snapToGrid w:val="0"/>
        <w:spacing w:line="360" w:lineRule="auto"/>
        <w:ind w:firstLine="480" w:firstLineChars="200"/>
        <w:jc w:val="left"/>
        <w:rPr>
          <w:rFonts w:hint="eastAsia" w:ascii="宋体" w:hAnsi="宋体" w:eastAsia="宋体" w:cs="宋体"/>
          <w:color w:val="auto"/>
          <w:sz w:val="24"/>
          <w:szCs w:val="28"/>
          <w:highlight w:val="none"/>
        </w:rPr>
      </w:pPr>
    </w:p>
    <w:p w14:paraId="7D6C249E">
      <w:pPr>
        <w:pStyle w:val="13"/>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szCs w:val="28"/>
          <w:highlight w:val="none"/>
        </w:rPr>
        <w:t>授权代表</w:t>
      </w:r>
      <w:r>
        <w:rPr>
          <w:rFonts w:hint="eastAsia" w:ascii="宋体" w:hAnsi="宋体" w:eastAsia="宋体" w:cs="宋体"/>
          <w:color w:val="auto"/>
          <w:sz w:val="24"/>
          <w:highlight w:val="none"/>
        </w:rPr>
        <w:t>身份证明扫描件：</w:t>
      </w:r>
    </w:p>
    <w:p w14:paraId="2A1D322E">
      <w:pPr>
        <w:pStyle w:val="13"/>
        <w:snapToGrid w:val="0"/>
        <w:spacing w:line="360" w:lineRule="auto"/>
        <w:ind w:firstLine="480" w:firstLineChars="200"/>
        <w:jc w:val="left"/>
        <w:rPr>
          <w:rFonts w:hint="eastAsia" w:ascii="宋体" w:hAnsi="宋体" w:eastAsia="宋体" w:cs="宋体"/>
          <w:color w:val="auto"/>
          <w:sz w:val="24"/>
          <w:highlight w:val="none"/>
        </w:rPr>
      </w:pPr>
    </w:p>
    <w:p w14:paraId="140285AB">
      <w:pPr>
        <w:pStyle w:val="13"/>
        <w:snapToGrid w:val="0"/>
        <w:spacing w:line="360" w:lineRule="auto"/>
        <w:ind w:firstLine="480" w:firstLineChars="200"/>
        <w:jc w:val="left"/>
        <w:rPr>
          <w:rFonts w:hint="eastAsia" w:ascii="宋体" w:hAnsi="宋体" w:eastAsia="宋体" w:cs="宋体"/>
          <w:color w:val="auto"/>
          <w:sz w:val="24"/>
          <w:highlight w:val="none"/>
        </w:rPr>
      </w:pPr>
    </w:p>
    <w:p w14:paraId="5A4CE4EA">
      <w:pPr>
        <w:pStyle w:val="13"/>
        <w:snapToGrid w:val="0"/>
        <w:spacing w:line="360" w:lineRule="auto"/>
        <w:ind w:firstLine="480" w:firstLineChars="200"/>
        <w:jc w:val="left"/>
        <w:rPr>
          <w:rFonts w:hint="eastAsia" w:ascii="宋体" w:hAnsi="宋体" w:eastAsia="宋体" w:cs="宋体"/>
          <w:color w:val="auto"/>
          <w:sz w:val="24"/>
          <w:highlight w:val="none"/>
        </w:rPr>
      </w:pPr>
    </w:p>
    <w:p w14:paraId="51075C0A">
      <w:pPr>
        <w:pStyle w:val="13"/>
        <w:snapToGrid w:val="0"/>
        <w:spacing w:line="360" w:lineRule="auto"/>
        <w:ind w:firstLine="480" w:firstLineChars="200"/>
        <w:jc w:val="left"/>
        <w:rPr>
          <w:rFonts w:hint="eastAsia" w:ascii="宋体" w:hAnsi="宋体" w:eastAsia="宋体" w:cs="宋体"/>
          <w:color w:val="auto"/>
          <w:sz w:val="24"/>
          <w:highlight w:val="none"/>
        </w:rPr>
      </w:pPr>
    </w:p>
    <w:p w14:paraId="3F177EEA">
      <w:pPr>
        <w:pStyle w:val="13"/>
        <w:snapToGrid w:val="0"/>
        <w:spacing w:line="360" w:lineRule="auto"/>
        <w:ind w:firstLine="480" w:firstLineChars="200"/>
        <w:jc w:val="left"/>
        <w:rPr>
          <w:rFonts w:hint="eastAsia" w:ascii="宋体" w:hAnsi="宋体" w:eastAsia="宋体" w:cs="宋体"/>
          <w:color w:val="auto"/>
          <w:sz w:val="24"/>
          <w:szCs w:val="28"/>
          <w:highlight w:val="none"/>
          <w:u w:val="single"/>
        </w:rPr>
      </w:pPr>
      <w:r>
        <w:rPr>
          <w:rFonts w:hint="eastAsia" w:ascii="宋体" w:hAnsi="宋体" w:eastAsia="宋体" w:cs="宋体"/>
          <w:color w:val="auto"/>
          <w:sz w:val="24"/>
          <w:szCs w:val="28"/>
          <w:highlight w:val="none"/>
        </w:rPr>
        <w:t>授权代表联系方式：</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u w:val="none"/>
        </w:rPr>
        <w:t>（请填写手机号码）</w:t>
      </w:r>
    </w:p>
    <w:p w14:paraId="796EC371">
      <w:pPr>
        <w:pStyle w:val="13"/>
        <w:snapToGrid w:val="0"/>
        <w:spacing w:line="360" w:lineRule="auto"/>
        <w:ind w:firstLine="480" w:firstLineChars="200"/>
        <w:jc w:val="left"/>
        <w:rPr>
          <w:rFonts w:hint="eastAsia" w:ascii="宋体" w:hAnsi="宋体" w:eastAsia="宋体" w:cs="宋体"/>
          <w:color w:val="auto"/>
          <w:sz w:val="24"/>
          <w:szCs w:val="28"/>
          <w:highlight w:val="none"/>
        </w:rPr>
      </w:pPr>
    </w:p>
    <w:p w14:paraId="19E98217">
      <w:pPr>
        <w:spacing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特此声明。</w:t>
      </w:r>
    </w:p>
    <w:p w14:paraId="737CED03">
      <w:pPr>
        <w:spacing w:line="360" w:lineRule="auto"/>
        <w:rPr>
          <w:rFonts w:hint="eastAsia" w:ascii="宋体" w:hAnsi="宋体" w:eastAsia="宋体" w:cs="宋体"/>
          <w:color w:val="auto"/>
          <w:sz w:val="24"/>
          <w:szCs w:val="28"/>
          <w:highlight w:val="none"/>
        </w:rPr>
      </w:pPr>
    </w:p>
    <w:p w14:paraId="2E1532B2">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lang w:val="en-US" w:eastAsia="zh-CN"/>
        </w:rPr>
        <w:t>盖章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2DA07BF2">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6768842D">
      <w:pPr>
        <w:spacing w:line="360" w:lineRule="auto"/>
        <w:rPr>
          <w:rFonts w:hint="eastAsia" w:ascii="宋体" w:hAnsi="宋体" w:eastAsia="宋体" w:cs="宋体"/>
          <w:color w:val="auto"/>
          <w:sz w:val="24"/>
          <w:szCs w:val="28"/>
          <w:highlight w:val="none"/>
        </w:rPr>
      </w:pPr>
    </w:p>
    <w:p w14:paraId="7251029C">
      <w:pPr>
        <w:spacing w:line="360" w:lineRule="auto"/>
        <w:rPr>
          <w:rFonts w:hint="eastAsia" w:ascii="宋体" w:hAnsi="宋体" w:eastAsia="宋体" w:cs="宋体"/>
          <w:color w:val="auto"/>
          <w:sz w:val="24"/>
          <w:szCs w:val="28"/>
          <w:highlight w:val="none"/>
        </w:rPr>
      </w:pPr>
    </w:p>
    <w:p w14:paraId="5874DC10">
      <w:pPr>
        <w:pStyle w:val="13"/>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注：</w:t>
      </w:r>
    </w:p>
    <w:p w14:paraId="70C9711F">
      <w:pPr>
        <w:pStyle w:val="13"/>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1.本项目只允许有唯一的供应商授权代表，提供身份证明扫描件；</w:t>
      </w:r>
    </w:p>
    <w:p w14:paraId="6C86C54E">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2.法定代表人参加</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的无需提供授权书，仅提供身份证明扫描件。</w:t>
      </w:r>
    </w:p>
    <w:p w14:paraId="5BC34E75">
      <w:pPr>
        <w:spacing w:line="360" w:lineRule="auto"/>
        <w:ind w:firstLine="435"/>
        <w:rPr>
          <w:rFonts w:hint="eastAsia" w:ascii="宋体" w:hAnsi="宋体" w:eastAsia="宋体" w:cs="宋体"/>
          <w:color w:val="auto"/>
          <w:sz w:val="24"/>
          <w:highlight w:val="none"/>
        </w:rPr>
      </w:pPr>
    </w:p>
    <w:p w14:paraId="32410F62">
      <w:pPr>
        <w:rPr>
          <w:rFonts w:hint="eastAsia" w:ascii="宋体" w:hAnsi="宋体" w:eastAsia="宋体" w:cs="宋体"/>
          <w:color w:val="auto"/>
          <w:sz w:val="24"/>
          <w:highlight w:val="none"/>
          <w:u w:val="single"/>
        </w:rPr>
      </w:pPr>
    </w:p>
    <w:p w14:paraId="490400D4">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p>
    <w:p w14:paraId="1878CE22">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四、</w:t>
      </w:r>
      <w:bookmarkEnd w:id="103"/>
      <w:r>
        <w:rPr>
          <w:rFonts w:hint="eastAsia" w:ascii="宋体" w:hAnsi="宋体" w:eastAsia="宋体" w:cs="宋体"/>
          <w:b/>
          <w:color w:val="auto"/>
          <w:sz w:val="24"/>
          <w:highlight w:val="none"/>
        </w:rPr>
        <w:t>供应商资格声明书</w:t>
      </w:r>
    </w:p>
    <w:p w14:paraId="6A61687A">
      <w:pPr>
        <w:pStyle w:val="14"/>
        <w:spacing w:line="360" w:lineRule="auto"/>
        <w:rPr>
          <w:rFonts w:hint="eastAsia" w:ascii="宋体" w:hAnsi="宋体" w:eastAsia="宋体" w:cs="宋体"/>
          <w:color w:val="auto"/>
          <w:sz w:val="24"/>
          <w:highlight w:val="none"/>
        </w:rPr>
      </w:pPr>
    </w:p>
    <w:p w14:paraId="6CF54840">
      <w:pPr>
        <w:pStyle w:val="14"/>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致：</w:t>
      </w:r>
      <w:r>
        <w:rPr>
          <w:rFonts w:hint="eastAsia" w:ascii="宋体" w:hAnsi="宋体" w:cs="宋体"/>
          <w:color w:val="auto"/>
          <w:sz w:val="24"/>
          <w:highlight w:val="none"/>
          <w:u w:val="single"/>
          <w:lang w:eastAsia="zh-CN"/>
        </w:rPr>
        <w:t>发包人</w:t>
      </w:r>
      <w:r>
        <w:rPr>
          <w:rFonts w:hint="eastAsia" w:ascii="宋体" w:hAnsi="宋体" w:eastAsia="宋体" w:cs="宋体"/>
          <w:color w:val="auto"/>
          <w:sz w:val="24"/>
          <w:highlight w:val="none"/>
          <w:u w:val="single"/>
          <w:lang w:val="en-US" w:eastAsia="zh-CN"/>
        </w:rPr>
        <w:t>名称</w:t>
      </w:r>
    </w:p>
    <w:p w14:paraId="0B00910E">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w:t>
      </w:r>
      <w:r>
        <w:rPr>
          <w:rFonts w:hint="eastAsia" w:ascii="宋体" w:hAnsi="宋体" w:cs="宋体"/>
          <w:color w:val="auto"/>
          <w:kern w:val="0"/>
          <w:sz w:val="24"/>
          <w:szCs w:val="24"/>
          <w:highlight w:val="none"/>
          <w:lang w:val="en-US" w:eastAsia="zh-CN" w:bidi="ar"/>
        </w:rPr>
        <w:t>评审</w:t>
      </w:r>
      <w:r>
        <w:rPr>
          <w:rFonts w:hint="eastAsia" w:ascii="宋体" w:hAnsi="宋体" w:eastAsia="宋体" w:cs="宋体"/>
          <w:color w:val="auto"/>
          <w:kern w:val="0"/>
          <w:sz w:val="24"/>
          <w:szCs w:val="24"/>
          <w:highlight w:val="none"/>
          <w:lang w:bidi="ar"/>
        </w:rPr>
        <w:t>中，我单位承诺：</w:t>
      </w:r>
    </w:p>
    <w:p w14:paraId="6334C30A">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06A3BEFD">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3593DF4C">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6B7938EE">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（四）参加采购活动前三年内，在经营活动中没有重大违法记录（重大违法记录指因违法经营受到刑事处罚或者责令停产停业、吊销许可证或者执照、较大数额罚款等行政处罚）；</w:t>
      </w:r>
    </w:p>
    <w:p w14:paraId="048BFD75">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w:t>
      </w:r>
    </w:p>
    <w:p w14:paraId="0A3FC66F">
      <w:pPr>
        <w:widowControl/>
        <w:spacing w:line="360" w:lineRule="auto"/>
        <w:ind w:firstLine="480" w:firstLineChars="20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（六）与我单位存在单位负责人为同一人或者存在直接控股、管理关系的其他法人单位信息如下（如有，不论其是否参加同一合同项下的采购活动均须填写）：</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1"/>
        <w:gridCol w:w="4191"/>
        <w:gridCol w:w="2510"/>
      </w:tblGrid>
      <w:tr w14:paraId="167E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934" w:type="dxa"/>
            <w:vAlign w:val="center"/>
          </w:tcPr>
          <w:p w14:paraId="2A179D6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序号</w:t>
            </w:r>
          </w:p>
        </w:tc>
        <w:tc>
          <w:tcPr>
            <w:tcW w:w="4501" w:type="dxa"/>
            <w:vAlign w:val="center"/>
          </w:tcPr>
          <w:p w14:paraId="52D35D53">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单位名称</w:t>
            </w:r>
          </w:p>
        </w:tc>
        <w:tc>
          <w:tcPr>
            <w:tcW w:w="2681" w:type="dxa"/>
            <w:vAlign w:val="center"/>
          </w:tcPr>
          <w:p w14:paraId="59D8847F">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相互关系</w:t>
            </w:r>
          </w:p>
        </w:tc>
      </w:tr>
      <w:tr w14:paraId="774E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934" w:type="dxa"/>
            <w:vAlign w:val="center"/>
          </w:tcPr>
          <w:p w14:paraId="23C11AF7">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1</w:t>
            </w:r>
          </w:p>
        </w:tc>
        <w:tc>
          <w:tcPr>
            <w:tcW w:w="4501" w:type="dxa"/>
            <w:vAlign w:val="center"/>
          </w:tcPr>
          <w:p w14:paraId="49BC65C0">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p>
        </w:tc>
        <w:tc>
          <w:tcPr>
            <w:tcW w:w="2681" w:type="dxa"/>
            <w:vAlign w:val="center"/>
          </w:tcPr>
          <w:p w14:paraId="35151B28">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p>
        </w:tc>
      </w:tr>
      <w:tr w14:paraId="6B3D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934" w:type="dxa"/>
            <w:vAlign w:val="center"/>
          </w:tcPr>
          <w:p w14:paraId="65089C8A">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2</w:t>
            </w:r>
          </w:p>
        </w:tc>
        <w:tc>
          <w:tcPr>
            <w:tcW w:w="4501" w:type="dxa"/>
            <w:vAlign w:val="center"/>
          </w:tcPr>
          <w:p w14:paraId="42E0CD0B">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p>
        </w:tc>
        <w:tc>
          <w:tcPr>
            <w:tcW w:w="2681" w:type="dxa"/>
            <w:vAlign w:val="center"/>
          </w:tcPr>
          <w:p w14:paraId="2DA255D9">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auto"/>
                <w:kern w:val="0"/>
                <w:sz w:val="24"/>
                <w:highlight w:val="none"/>
                <w:lang w:val="en-US" w:bidi="ar"/>
              </w:rPr>
            </w:pPr>
          </w:p>
        </w:tc>
      </w:tr>
      <w:tr w14:paraId="0864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934" w:type="dxa"/>
            <w:vAlign w:val="center"/>
          </w:tcPr>
          <w:p w14:paraId="2C50ECF1">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default"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val="en-US" w:eastAsia="zh-CN" w:bidi="ar"/>
              </w:rPr>
              <w:t>...</w:t>
            </w:r>
          </w:p>
        </w:tc>
        <w:tc>
          <w:tcPr>
            <w:tcW w:w="4501" w:type="dxa"/>
            <w:vAlign w:val="center"/>
          </w:tcPr>
          <w:p w14:paraId="0B4CF098">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default" w:ascii="宋体" w:hAnsi="宋体" w:eastAsia="宋体" w:cs="宋体"/>
                <w:color w:val="auto"/>
                <w:kern w:val="0"/>
                <w:sz w:val="24"/>
                <w:highlight w:val="none"/>
                <w:lang w:val="en-US" w:eastAsia="zh-CN" w:bidi="ar"/>
              </w:rPr>
            </w:pPr>
          </w:p>
        </w:tc>
        <w:tc>
          <w:tcPr>
            <w:tcW w:w="2681" w:type="dxa"/>
            <w:vAlign w:val="center"/>
          </w:tcPr>
          <w:p w14:paraId="204E8FDD">
            <w:pPr>
              <w:pStyle w:val="8"/>
              <w:keepNext w:val="0"/>
              <w:keepLines w:val="0"/>
              <w:pageBreakBefore w:val="0"/>
              <w:kinsoku/>
              <w:wordWrap/>
              <w:overflowPunct/>
              <w:topLinePunct w:val="0"/>
              <w:autoSpaceDE/>
              <w:autoSpaceDN/>
              <w:bidi w:val="0"/>
              <w:adjustRightInd/>
              <w:snapToGrid/>
              <w:spacing w:after="0" w:line="400" w:lineRule="exact"/>
              <w:jc w:val="center"/>
              <w:textAlignment w:val="auto"/>
              <w:rPr>
                <w:rFonts w:hint="default" w:ascii="宋体" w:hAnsi="宋体" w:eastAsia="宋体" w:cs="宋体"/>
                <w:color w:val="auto"/>
                <w:kern w:val="0"/>
                <w:sz w:val="24"/>
                <w:highlight w:val="none"/>
                <w:lang w:val="en-US" w:eastAsia="zh-CN" w:bidi="ar"/>
              </w:rPr>
            </w:pPr>
          </w:p>
        </w:tc>
      </w:tr>
    </w:tbl>
    <w:p w14:paraId="2AFFE384">
      <w:pPr>
        <w:spacing w:line="360" w:lineRule="auto"/>
        <w:ind w:firstLine="435"/>
        <w:rPr>
          <w:rFonts w:hint="eastAsia" w:ascii="宋体" w:hAnsi="宋体" w:eastAsia="宋体" w:cs="宋体"/>
          <w:color w:val="auto"/>
          <w:sz w:val="24"/>
          <w:highlight w:val="none"/>
        </w:rPr>
      </w:pPr>
    </w:p>
    <w:p w14:paraId="5C590F7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2149EE7F">
      <w:pPr>
        <w:spacing w:line="360" w:lineRule="auto"/>
        <w:ind w:firstLine="4800" w:firstLineChars="2000"/>
        <w:rPr>
          <w:rFonts w:hint="eastAsia" w:ascii="宋体" w:hAnsi="宋体" w:eastAsia="宋体" w:cs="宋体"/>
          <w:color w:val="auto"/>
          <w:sz w:val="24"/>
          <w:highlight w:val="none"/>
        </w:rPr>
      </w:pPr>
    </w:p>
    <w:p w14:paraId="4A57A60D">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lang w:val="en-US" w:eastAsia="zh-CN"/>
        </w:rPr>
        <w:t>盖章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09BE706E">
      <w:pPr>
        <w:tabs>
          <w:tab w:val="left" w:pos="630"/>
        </w:tabs>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0C948D9A">
      <w:pPr>
        <w:tabs>
          <w:tab w:val="left" w:pos="630"/>
        </w:tabs>
        <w:spacing w:line="360" w:lineRule="auto"/>
        <w:ind w:firstLine="4800" w:firstLineChars="2000"/>
        <w:rPr>
          <w:rFonts w:hint="eastAsia" w:ascii="宋体" w:hAnsi="宋体" w:eastAsia="宋体" w:cs="宋体"/>
          <w:color w:val="auto"/>
          <w:sz w:val="24"/>
          <w:highlight w:val="none"/>
          <w:u w:val="single"/>
        </w:rPr>
      </w:pPr>
    </w:p>
    <w:p w14:paraId="05AE07F8">
      <w:pPr>
        <w:rPr>
          <w:rFonts w:hint="eastAsia" w:ascii="宋体" w:hAnsi="宋体" w:eastAsia="宋体" w:cs="宋体"/>
          <w:color w:val="auto"/>
          <w:sz w:val="24"/>
          <w:highlight w:val="none"/>
          <w:u w:val="single"/>
        </w:rPr>
      </w:pPr>
    </w:p>
    <w:p w14:paraId="24EA9424">
      <w:pPr>
        <w:widowControl/>
        <w:jc w:val="left"/>
        <w:rPr>
          <w:rFonts w:hint="eastAsia" w:ascii="宋体" w:hAnsi="宋体" w:eastAsia="宋体" w:cs="宋体"/>
          <w:color w:val="auto"/>
          <w:sz w:val="24"/>
          <w:highlight w:val="none"/>
          <w:u w:val="single"/>
        </w:rPr>
      </w:pPr>
    </w:p>
    <w:p w14:paraId="118C673C">
      <w:pPr>
        <w:rPr>
          <w:rFonts w:hint="eastAsia" w:ascii="宋体" w:hAnsi="宋体" w:eastAsia="宋体" w:cs="宋体"/>
          <w:b/>
          <w:color w:val="auto"/>
          <w:sz w:val="24"/>
          <w:highlight w:val="none"/>
        </w:rPr>
      </w:pPr>
    </w:p>
    <w:p w14:paraId="04FE82EC">
      <w:pPr>
        <w:rPr>
          <w:rFonts w:hint="eastAsia" w:ascii="宋体" w:hAnsi="宋体" w:eastAsia="宋体" w:cs="宋体"/>
          <w:b/>
          <w:color w:val="auto"/>
          <w:sz w:val="24"/>
          <w:highlight w:val="none"/>
        </w:rPr>
      </w:pPr>
    </w:p>
    <w:p w14:paraId="52A7D768">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129DF5FA">
      <w:pPr>
        <w:spacing w:line="360" w:lineRule="auto"/>
        <w:jc w:val="center"/>
        <w:outlineLvl w:val="1"/>
        <w:rPr>
          <w:rFonts w:hint="eastAsia" w:ascii="宋体" w:hAnsi="宋体" w:eastAsia="宋体" w:cs="宋体"/>
          <w:b/>
          <w:color w:val="auto"/>
          <w:sz w:val="24"/>
          <w:highlight w:val="none"/>
        </w:rPr>
      </w:pPr>
      <w:bookmarkStart w:id="104" w:name="_Toc24583"/>
      <w:r>
        <w:rPr>
          <w:rFonts w:hint="eastAsia" w:ascii="宋体" w:hAnsi="宋体" w:eastAsia="宋体" w:cs="宋体"/>
          <w:b/>
          <w:color w:val="auto"/>
          <w:sz w:val="24"/>
          <w:highlight w:val="none"/>
          <w:lang w:val="en-US" w:eastAsia="zh-CN"/>
        </w:rPr>
        <w:t>五、</w:t>
      </w:r>
      <w:r>
        <w:rPr>
          <w:rFonts w:hint="eastAsia" w:ascii="宋体" w:hAnsi="宋体" w:eastAsia="宋体" w:cs="宋体"/>
          <w:b/>
          <w:color w:val="auto"/>
          <w:sz w:val="24"/>
          <w:highlight w:val="none"/>
        </w:rPr>
        <w:t>诚信履约承诺函</w:t>
      </w:r>
    </w:p>
    <w:p w14:paraId="2FACAF9C">
      <w:pPr>
        <w:spacing w:line="360" w:lineRule="auto"/>
        <w:rPr>
          <w:rFonts w:hint="eastAsia" w:ascii="宋体" w:hAnsi="宋体" w:eastAsia="宋体" w:cs="宋体"/>
          <w:b/>
          <w:bCs/>
          <w:color w:val="auto"/>
          <w:sz w:val="24"/>
          <w:highlight w:val="none"/>
        </w:rPr>
      </w:pPr>
    </w:p>
    <w:p w14:paraId="35B8EAFD">
      <w:pPr>
        <w:spacing w:line="360" w:lineRule="auto"/>
        <w:rPr>
          <w:rFonts w:hint="eastAsia" w:ascii="宋体" w:hAnsi="宋体" w:eastAsia="宋体" w:cs="宋体"/>
          <w:b/>
          <w:bCs/>
          <w:color w:val="auto"/>
          <w:sz w:val="24"/>
          <w:highlight w:val="none"/>
          <w:u w:val="single"/>
        </w:rPr>
      </w:pPr>
      <w:r>
        <w:rPr>
          <w:rFonts w:hint="eastAsia" w:ascii="宋体" w:hAnsi="宋体" w:eastAsia="宋体" w:cs="宋体"/>
          <w:b/>
          <w:bCs/>
          <w:color w:val="auto"/>
          <w:sz w:val="24"/>
          <w:highlight w:val="none"/>
        </w:rPr>
        <w:t>致：</w:t>
      </w:r>
      <w:r>
        <w:rPr>
          <w:rFonts w:hint="eastAsia" w:ascii="宋体" w:hAnsi="宋体" w:cs="宋体"/>
          <w:b/>
          <w:bCs/>
          <w:color w:val="auto"/>
          <w:sz w:val="24"/>
          <w:highlight w:val="none"/>
          <w:u w:val="single"/>
          <w:lang w:eastAsia="zh-CN"/>
        </w:rPr>
        <w:t>发包人</w:t>
      </w:r>
      <w:r>
        <w:rPr>
          <w:rFonts w:hint="eastAsia" w:ascii="宋体" w:hAnsi="宋体" w:eastAsia="宋体" w:cs="宋体"/>
          <w:b/>
          <w:bCs/>
          <w:color w:val="auto"/>
          <w:sz w:val="24"/>
          <w:highlight w:val="none"/>
          <w:u w:val="single"/>
          <w:lang w:val="en-US" w:eastAsia="zh-CN"/>
        </w:rPr>
        <w:t>名称</w:t>
      </w:r>
    </w:p>
    <w:p w14:paraId="32258E5B">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如我单位被确定为本项目成交供应商，我单位承诺在合同签订及履约过程中将严格执行《中华人民共和国</w:t>
      </w:r>
      <w:r>
        <w:rPr>
          <w:rFonts w:hint="eastAsia" w:ascii="宋体" w:hAnsi="宋体" w:eastAsia="宋体" w:cs="宋体"/>
          <w:bCs/>
          <w:color w:val="auto"/>
          <w:sz w:val="24"/>
          <w:highlight w:val="none"/>
          <w:lang w:val="en-US" w:eastAsia="zh-CN"/>
        </w:rPr>
        <w:t>民法典</w:t>
      </w:r>
      <w:r>
        <w:rPr>
          <w:rFonts w:hint="eastAsia" w:ascii="宋体" w:hAnsi="宋体" w:eastAsia="宋体" w:cs="宋体"/>
          <w:bCs/>
          <w:color w:val="auto"/>
          <w:sz w:val="24"/>
          <w:highlight w:val="none"/>
        </w:rPr>
        <w:t>》及本项目</w:t>
      </w:r>
      <w:r>
        <w:rPr>
          <w:rFonts w:hint="eastAsia" w:ascii="宋体" w:hAnsi="宋体" w:cs="宋体"/>
          <w:bCs/>
          <w:color w:val="auto"/>
          <w:sz w:val="24"/>
          <w:highlight w:val="none"/>
          <w:lang w:eastAsia="zh-CN"/>
        </w:rPr>
        <w:t>发包文件</w:t>
      </w:r>
      <w:r>
        <w:rPr>
          <w:rFonts w:hint="eastAsia" w:ascii="宋体" w:hAnsi="宋体" w:eastAsia="宋体" w:cs="宋体"/>
          <w:bCs/>
          <w:color w:val="auto"/>
          <w:sz w:val="24"/>
          <w:highlight w:val="none"/>
        </w:rPr>
        <w:t>中关于合同签订及履约的相关规定，不出现以下情形：</w:t>
      </w:r>
    </w:p>
    <w:p w14:paraId="1FED777E">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（1）中标或者成交后无正当理由拒不与</w:t>
      </w:r>
      <w:r>
        <w:rPr>
          <w:rFonts w:hint="eastAsia" w:ascii="宋体" w:hAnsi="宋体" w:cs="宋体"/>
          <w:bCs/>
          <w:color w:val="auto"/>
          <w:sz w:val="24"/>
          <w:highlight w:val="none"/>
          <w:lang w:eastAsia="zh-CN"/>
        </w:rPr>
        <w:t>发包人</w:t>
      </w:r>
      <w:r>
        <w:rPr>
          <w:rFonts w:hint="eastAsia" w:ascii="宋体" w:hAnsi="宋体" w:eastAsia="宋体" w:cs="宋体"/>
          <w:bCs/>
          <w:color w:val="auto"/>
          <w:sz w:val="24"/>
          <w:highlight w:val="none"/>
        </w:rPr>
        <w:t>签订采购合同；</w:t>
      </w:r>
    </w:p>
    <w:p w14:paraId="162F8688">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（2）未按照</w:t>
      </w:r>
      <w:r>
        <w:rPr>
          <w:rFonts w:hint="eastAsia" w:ascii="宋体" w:hAnsi="宋体" w:cs="宋体"/>
          <w:bCs/>
          <w:color w:val="auto"/>
          <w:sz w:val="24"/>
          <w:highlight w:val="none"/>
          <w:lang w:eastAsia="zh-CN"/>
        </w:rPr>
        <w:t>发包文件</w:t>
      </w:r>
      <w:r>
        <w:rPr>
          <w:rFonts w:hint="eastAsia" w:ascii="宋体" w:hAnsi="宋体" w:eastAsia="宋体" w:cs="宋体"/>
          <w:bCs/>
          <w:color w:val="auto"/>
          <w:sz w:val="24"/>
          <w:highlight w:val="none"/>
        </w:rPr>
        <w:t>确定的事项签订采购合同；</w:t>
      </w:r>
    </w:p>
    <w:p w14:paraId="4381C4F9">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（3）将采购合同转包；</w:t>
      </w:r>
    </w:p>
    <w:p w14:paraId="011337B8">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（4）提供假冒伪劣产品；</w:t>
      </w:r>
    </w:p>
    <w:p w14:paraId="3E96C9C0">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（5）擅自变更、中止或者终止采购合同。</w:t>
      </w:r>
    </w:p>
    <w:p w14:paraId="21F0D62D">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本单位知悉如出现上述情形，将会被依法追究法律责任，可能的处理结果有：处以采购金额千分之五以上千分之十以下的罚款，列入不良行为记录名单，在一至三年内禁止参加采购</w:t>
      </w:r>
      <w:r>
        <w:rPr>
          <w:rFonts w:hint="eastAsia" w:ascii="宋体" w:hAnsi="宋体" w:eastAsia="宋体" w:cs="宋体"/>
          <w:bCs/>
          <w:color w:val="auto"/>
          <w:sz w:val="24"/>
          <w:highlight w:val="none"/>
          <w:lang w:val="en-US" w:eastAsia="zh-CN"/>
        </w:rPr>
        <w:t>贵单位采购</w:t>
      </w:r>
      <w:r>
        <w:rPr>
          <w:rFonts w:hint="eastAsia" w:ascii="宋体" w:hAnsi="宋体" w:eastAsia="宋体" w:cs="宋体"/>
          <w:bCs/>
          <w:color w:val="auto"/>
          <w:sz w:val="24"/>
          <w:highlight w:val="none"/>
        </w:rPr>
        <w:t>活动，有违法所得的，并处没收违法所得，情节严重的，</w:t>
      </w:r>
      <w:r>
        <w:rPr>
          <w:rFonts w:hint="eastAsia" w:ascii="宋体" w:hAnsi="宋体" w:eastAsia="宋体" w:cs="宋体"/>
          <w:bCs/>
          <w:color w:val="auto"/>
          <w:sz w:val="24"/>
          <w:highlight w:val="none"/>
          <w:lang w:val="en-US" w:eastAsia="zh-CN"/>
        </w:rPr>
        <w:t>报</w:t>
      </w:r>
      <w:r>
        <w:rPr>
          <w:rFonts w:hint="eastAsia" w:ascii="宋体" w:hAnsi="宋体" w:eastAsia="宋体" w:cs="宋体"/>
          <w:bCs/>
          <w:color w:val="auto"/>
          <w:sz w:val="24"/>
          <w:highlight w:val="none"/>
        </w:rPr>
        <w:t>由工商行政管理机关吊销营业执照；构成犯罪的，依法追究刑事责任。</w:t>
      </w:r>
    </w:p>
    <w:p w14:paraId="5950A10E">
      <w:pPr>
        <w:spacing w:line="360" w:lineRule="auto"/>
        <w:rPr>
          <w:rFonts w:hint="eastAsia" w:ascii="宋体" w:hAnsi="宋体" w:eastAsia="宋体" w:cs="宋体"/>
          <w:bCs/>
          <w:color w:val="auto"/>
          <w:sz w:val="24"/>
          <w:highlight w:val="none"/>
        </w:rPr>
      </w:pPr>
    </w:p>
    <w:p w14:paraId="0F2F8E57">
      <w:pPr>
        <w:spacing w:line="360" w:lineRule="auto"/>
        <w:rPr>
          <w:rFonts w:hint="eastAsia" w:ascii="宋体" w:hAnsi="宋体" w:eastAsia="宋体" w:cs="宋体"/>
          <w:bCs/>
          <w:color w:val="auto"/>
          <w:sz w:val="24"/>
          <w:highlight w:val="none"/>
        </w:rPr>
      </w:pPr>
    </w:p>
    <w:p w14:paraId="0D2F434D">
      <w:pPr>
        <w:spacing w:line="360" w:lineRule="auto"/>
        <w:ind w:firstLine="4320" w:firstLineChars="180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供应商</w:t>
      </w:r>
      <w:r>
        <w:rPr>
          <w:rFonts w:hint="eastAsia" w:ascii="宋体" w:hAnsi="宋体" w:eastAsia="宋体" w:cs="宋体"/>
          <w:bCs/>
          <w:color w:val="auto"/>
          <w:sz w:val="24"/>
          <w:highlight w:val="none"/>
          <w:lang w:val="en-US" w:eastAsia="zh-CN"/>
        </w:rPr>
        <w:t>盖章</w:t>
      </w: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u w:val="single"/>
        </w:rPr>
        <w:t xml:space="preserve">             </w:t>
      </w:r>
    </w:p>
    <w:p w14:paraId="3BC6C01E">
      <w:pPr>
        <w:spacing w:line="360" w:lineRule="auto"/>
        <w:ind w:firstLine="4320" w:firstLineChars="18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日          期：</w:t>
      </w:r>
      <w:r>
        <w:rPr>
          <w:rFonts w:hint="eastAsia" w:ascii="宋体" w:hAnsi="宋体" w:eastAsia="宋体" w:cs="宋体"/>
          <w:bCs/>
          <w:color w:val="auto"/>
          <w:sz w:val="24"/>
          <w:highlight w:val="none"/>
          <w:u w:val="single"/>
        </w:rPr>
        <w:t xml:space="preserve">             </w:t>
      </w:r>
    </w:p>
    <w:p w14:paraId="69AD2168">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p>
    <w:p w14:paraId="3EA8BFB9">
      <w:pPr>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六、无重大违法记录声明函、无不良信用记录承诺函</w:t>
      </w:r>
    </w:p>
    <w:p w14:paraId="0524F248">
      <w:pPr>
        <w:pStyle w:val="22"/>
        <w:spacing w:line="400" w:lineRule="atLeast"/>
        <w:ind w:firstLine="2891" w:firstLineChars="1200"/>
        <w:rPr>
          <w:rFonts w:hint="eastAsia" w:ascii="宋体" w:hAnsi="宋体" w:eastAsia="宋体" w:cs="宋体"/>
          <w:b/>
          <w:color w:val="auto"/>
          <w:sz w:val="24"/>
          <w:szCs w:val="24"/>
          <w:highlight w:val="none"/>
          <w:lang w:val="zh-CN"/>
        </w:rPr>
      </w:pPr>
    </w:p>
    <w:p w14:paraId="29191FD0">
      <w:pPr>
        <w:pStyle w:val="2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无重大违法记录声明函</w:t>
      </w:r>
    </w:p>
    <w:p w14:paraId="3B5A50B9">
      <w:pPr>
        <w:keepNext w:val="0"/>
        <w:keepLines w:val="0"/>
        <w:pageBreakBefore w:val="0"/>
        <w:widowControl w:val="0"/>
        <w:kinsoku/>
        <w:wordWrap/>
        <w:overflowPunct/>
        <w:topLinePunct w:val="0"/>
        <w:autoSpaceDE/>
        <w:autoSpaceDN/>
        <w:bidi w:val="0"/>
        <w:adjustRightInd/>
        <w:snapToGrid/>
        <w:spacing w:after="120" w:line="52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郑重声明，参加本次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6DDCEA06">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本公司对上述声明的真实性负责。如有虚假，将依法承担相应责任。</w:t>
      </w:r>
    </w:p>
    <w:p w14:paraId="354E74CE">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p>
    <w:p w14:paraId="0D1FA384">
      <w:pPr>
        <w:keepNext w:val="0"/>
        <w:keepLines w:val="0"/>
        <w:pageBreakBefore w:val="0"/>
        <w:widowControl w:val="0"/>
        <w:kinsoku/>
        <w:wordWrap/>
        <w:overflowPunct/>
        <w:topLinePunct w:val="0"/>
        <w:autoSpaceDE/>
        <w:autoSpaceDN/>
        <w:bidi w:val="0"/>
        <w:adjustRightInd/>
        <w:snapToGrid/>
        <w:spacing w:line="520" w:lineRule="exact"/>
        <w:ind w:firstLine="5428" w:firstLineChars="2262"/>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val="en-US" w:eastAsia="zh-CN"/>
        </w:rPr>
        <w:t>供应商盖章</w:t>
      </w:r>
      <w:r>
        <w:rPr>
          <w:rFonts w:hint="eastAsia" w:ascii="宋体" w:hAnsi="宋体" w:eastAsia="宋体" w:cs="宋体"/>
          <w:bCs/>
          <w:color w:val="auto"/>
          <w:sz w:val="24"/>
          <w:szCs w:val="24"/>
          <w:highlight w:val="none"/>
        </w:rPr>
        <w:t>：</w:t>
      </w:r>
    </w:p>
    <w:p w14:paraId="3EF8CA85">
      <w:pPr>
        <w:keepNext w:val="0"/>
        <w:keepLines w:val="0"/>
        <w:pageBreakBefore w:val="0"/>
        <w:widowControl w:val="0"/>
        <w:tabs>
          <w:tab w:val="left" w:pos="630"/>
        </w:tabs>
        <w:kinsoku/>
        <w:wordWrap/>
        <w:overflowPunct/>
        <w:topLinePunct w:val="0"/>
        <w:autoSpaceDE/>
        <w:autoSpaceDN/>
        <w:bidi w:val="0"/>
        <w:adjustRightInd/>
        <w:snapToGrid/>
        <w:spacing w:line="520" w:lineRule="exact"/>
        <w:ind w:firstLine="5428" w:firstLineChars="2262"/>
        <w:textAlignment w:val="auto"/>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rPr>
        <w:t>日</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期：</w:t>
      </w:r>
    </w:p>
    <w:p w14:paraId="72DC8769">
      <w:pPr>
        <w:keepNext w:val="0"/>
        <w:keepLines w:val="0"/>
        <w:pageBreakBefore w:val="0"/>
        <w:widowControl w:val="0"/>
        <w:kinsoku/>
        <w:wordWrap/>
        <w:overflowPunct/>
        <w:topLinePunct w:val="0"/>
        <w:autoSpaceDE/>
        <w:autoSpaceDN/>
        <w:bidi w:val="0"/>
        <w:adjustRightInd/>
        <w:snapToGrid/>
        <w:spacing w:after="120" w:line="520" w:lineRule="exact"/>
        <w:ind w:firstLine="210"/>
        <w:jc w:val="both"/>
        <w:textAlignment w:val="auto"/>
        <w:rPr>
          <w:rFonts w:hint="eastAsia" w:ascii="宋体" w:hAnsi="宋体" w:eastAsia="宋体" w:cs="宋体"/>
          <w:color w:val="auto"/>
          <w:kern w:val="2"/>
          <w:sz w:val="24"/>
          <w:szCs w:val="20"/>
          <w:highlight w:val="none"/>
          <w:lang w:val="en-US" w:eastAsia="zh-CN" w:bidi="ar-SA"/>
        </w:rPr>
      </w:pPr>
    </w:p>
    <w:p w14:paraId="07C1297F">
      <w:pPr>
        <w:keepNext w:val="0"/>
        <w:keepLines w:val="0"/>
        <w:pageBreakBefore w:val="0"/>
        <w:widowControl w:val="0"/>
        <w:kinsoku/>
        <w:wordWrap/>
        <w:overflowPunct/>
        <w:topLinePunct w:val="0"/>
        <w:autoSpaceDE/>
        <w:autoSpaceDN/>
        <w:bidi w:val="0"/>
        <w:adjustRightInd/>
        <w:snapToGrid/>
        <w:spacing w:after="120" w:line="520" w:lineRule="exact"/>
        <w:ind w:firstLine="210"/>
        <w:jc w:val="both"/>
        <w:textAlignment w:val="auto"/>
        <w:rPr>
          <w:rFonts w:hint="eastAsia" w:ascii="宋体" w:hAnsi="宋体" w:eastAsia="宋体" w:cs="宋体"/>
          <w:color w:val="auto"/>
          <w:kern w:val="2"/>
          <w:sz w:val="24"/>
          <w:szCs w:val="20"/>
          <w:highlight w:val="none"/>
          <w:lang w:val="en-US" w:eastAsia="zh-CN" w:bidi="ar-SA"/>
        </w:rPr>
      </w:pPr>
    </w:p>
    <w:p w14:paraId="5C41AC27">
      <w:pPr>
        <w:keepNext w:val="0"/>
        <w:keepLines w:val="0"/>
        <w:pageBreakBefore w:val="0"/>
        <w:widowControl w:val="0"/>
        <w:tabs>
          <w:tab w:val="left" w:pos="630"/>
        </w:tabs>
        <w:kinsoku/>
        <w:wordWrap/>
        <w:overflowPunct/>
        <w:topLinePunct w:val="0"/>
        <w:autoSpaceDE/>
        <w:autoSpaceDN/>
        <w:bidi w:val="0"/>
        <w:adjustRightInd/>
        <w:snapToGrid/>
        <w:spacing w:after="156" w:afterLines="50" w:line="5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zh-CN"/>
        </w:rPr>
        <w:t>无不良信用记录承诺函</w:t>
      </w:r>
    </w:p>
    <w:p w14:paraId="53EFBFA6">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本公司郑重承诺，我公司无以下不良信用记录情形：</w:t>
      </w:r>
    </w:p>
    <w:p w14:paraId="1BCDB98F">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1、公司被人民法院列入失信被执行人；</w:t>
      </w:r>
    </w:p>
    <w:p w14:paraId="7EF1110A">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2、公司被市场监督管理部门列入</w:t>
      </w:r>
      <w:r>
        <w:rPr>
          <w:rFonts w:hint="eastAsia" w:ascii="宋体" w:hAnsi="宋体" w:eastAsia="宋体" w:cs="宋体"/>
          <w:color w:val="auto"/>
          <w:sz w:val="24"/>
          <w:szCs w:val="24"/>
          <w:highlight w:val="none"/>
          <w:lang w:eastAsia="zh-CN"/>
        </w:rPr>
        <w:t>严重违法失信企业</w:t>
      </w:r>
      <w:r>
        <w:rPr>
          <w:rFonts w:hint="eastAsia" w:ascii="宋体" w:hAnsi="宋体" w:eastAsia="宋体" w:cs="宋体"/>
          <w:color w:val="auto"/>
          <w:sz w:val="24"/>
          <w:szCs w:val="24"/>
          <w:highlight w:val="none"/>
        </w:rPr>
        <w:t>名录；</w:t>
      </w:r>
    </w:p>
    <w:p w14:paraId="2E725B56">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3、公司被税务部门列入重大税收违法案件当事人名单的；</w:t>
      </w:r>
    </w:p>
    <w:p w14:paraId="3312A143">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4、公司被采购监管部门列入政府采购严重违法失信行为记录名单。</w:t>
      </w:r>
    </w:p>
    <w:p w14:paraId="699A45B1">
      <w:pPr>
        <w:keepNext w:val="0"/>
        <w:keepLines w:val="0"/>
        <w:pageBreakBefore w:val="0"/>
        <w:widowControl w:val="0"/>
        <w:tabs>
          <w:tab w:val="left" w:pos="630"/>
        </w:tabs>
        <w:kinsoku/>
        <w:wordWrap/>
        <w:overflowPunct/>
        <w:topLinePunct w:val="0"/>
        <w:autoSpaceDE/>
        <w:autoSpaceDN/>
        <w:bidi w:val="0"/>
        <w:adjustRightInd/>
        <w:snapToGrid/>
        <w:spacing w:line="520" w:lineRule="exact"/>
        <w:ind w:firstLine="63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本公司对上述声明的真实性负责。如有虚假，将依法承担相应责任。</w:t>
      </w:r>
    </w:p>
    <w:p w14:paraId="0C618385">
      <w:pPr>
        <w:pStyle w:val="8"/>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highlight w:val="none"/>
        </w:rPr>
      </w:pPr>
    </w:p>
    <w:p w14:paraId="5170B87A">
      <w:pPr>
        <w:keepNext w:val="0"/>
        <w:keepLines w:val="0"/>
        <w:pageBreakBefore w:val="0"/>
        <w:widowControl w:val="0"/>
        <w:kinsoku/>
        <w:wordWrap/>
        <w:overflowPunct/>
        <w:topLinePunct w:val="0"/>
        <w:autoSpaceDE/>
        <w:autoSpaceDN/>
        <w:bidi w:val="0"/>
        <w:adjustRightInd/>
        <w:snapToGrid/>
        <w:spacing w:line="520" w:lineRule="exact"/>
        <w:ind w:firstLine="5428" w:firstLineChars="2262"/>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val="en-US" w:eastAsia="zh-CN"/>
        </w:rPr>
        <w:t>供应商盖章</w:t>
      </w:r>
      <w:r>
        <w:rPr>
          <w:rFonts w:hint="eastAsia" w:ascii="宋体" w:hAnsi="宋体" w:eastAsia="宋体" w:cs="宋体"/>
          <w:bCs/>
          <w:color w:val="auto"/>
          <w:sz w:val="24"/>
          <w:szCs w:val="24"/>
          <w:highlight w:val="none"/>
        </w:rPr>
        <w:t>：</w:t>
      </w:r>
    </w:p>
    <w:p w14:paraId="0D323BBD">
      <w:pPr>
        <w:keepNext w:val="0"/>
        <w:keepLines w:val="0"/>
        <w:pageBreakBefore w:val="0"/>
        <w:widowControl w:val="0"/>
        <w:tabs>
          <w:tab w:val="left" w:pos="630"/>
        </w:tabs>
        <w:kinsoku/>
        <w:wordWrap/>
        <w:overflowPunct/>
        <w:topLinePunct w:val="0"/>
        <w:autoSpaceDE/>
        <w:autoSpaceDN/>
        <w:bidi w:val="0"/>
        <w:adjustRightInd/>
        <w:snapToGrid/>
        <w:spacing w:line="520" w:lineRule="exact"/>
        <w:ind w:firstLine="5428" w:firstLineChars="2262"/>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日    期：</w:t>
      </w:r>
    </w:p>
    <w:p w14:paraId="67B3950E">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br w:type="page"/>
      </w:r>
    </w:p>
    <w:bookmarkEnd w:id="104"/>
    <w:p w14:paraId="1282CEF7">
      <w:pPr>
        <w:spacing w:line="360" w:lineRule="auto"/>
        <w:jc w:val="center"/>
        <w:outlineLvl w:val="1"/>
        <w:rPr>
          <w:rFonts w:hint="eastAsia" w:ascii="宋体" w:hAnsi="宋体" w:eastAsia="宋体" w:cs="宋体"/>
          <w:b/>
          <w:color w:val="auto"/>
          <w:sz w:val="24"/>
          <w:highlight w:val="none"/>
        </w:rPr>
      </w:pPr>
      <w:bookmarkStart w:id="105" w:name="_Toc23068"/>
      <w:r>
        <w:rPr>
          <w:rFonts w:hint="eastAsia" w:ascii="宋体" w:hAnsi="宋体" w:eastAsia="宋体" w:cs="宋体"/>
          <w:b/>
          <w:color w:val="auto"/>
          <w:sz w:val="24"/>
          <w:highlight w:val="none"/>
          <w:lang w:val="en-US" w:eastAsia="zh-CN"/>
        </w:rPr>
        <w:t>七、</w:t>
      </w:r>
      <w:bookmarkEnd w:id="105"/>
      <w:r>
        <w:rPr>
          <w:rFonts w:hint="eastAsia" w:ascii="宋体" w:hAnsi="宋体" w:eastAsia="宋体" w:cs="宋体"/>
          <w:b/>
          <w:color w:val="auto"/>
          <w:sz w:val="24"/>
          <w:highlight w:val="none"/>
        </w:rPr>
        <w:t>联合协议</w:t>
      </w:r>
    </w:p>
    <w:p w14:paraId="37EE6A11">
      <w:pPr>
        <w:pStyle w:val="21"/>
        <w:spacing w:line="360" w:lineRule="auto"/>
        <w:rPr>
          <w:rFonts w:hint="eastAsia" w:ascii="宋体" w:hAnsi="宋体" w:eastAsia="宋体" w:cs="宋体"/>
          <w:color w:val="auto"/>
          <w:sz w:val="24"/>
          <w:highlight w:val="none"/>
        </w:rPr>
      </w:pPr>
      <w:r>
        <w:rPr>
          <w:rFonts w:hint="eastAsia" w:ascii="宋体" w:hAnsi="宋体" w:eastAsia="宋体" w:cs="宋体"/>
          <w:b w:val="0"/>
          <w:i w:val="0"/>
          <w:iCs/>
          <w:color w:val="auto"/>
          <w:sz w:val="24"/>
          <w:highlight w:val="none"/>
        </w:rPr>
        <w:t>（不允许联合体或未组成联合体</w:t>
      </w:r>
      <w:r>
        <w:rPr>
          <w:rFonts w:hint="eastAsia" w:ascii="宋体" w:hAnsi="宋体" w:eastAsia="宋体" w:cs="宋体"/>
          <w:b w:val="0"/>
          <w:i w:val="0"/>
          <w:iCs/>
          <w:color w:val="auto"/>
          <w:sz w:val="24"/>
          <w:highlight w:val="none"/>
          <w:lang w:eastAsia="zh-CN"/>
        </w:rPr>
        <w:t>的</w:t>
      </w:r>
      <w:r>
        <w:rPr>
          <w:rFonts w:hint="eastAsia" w:ascii="宋体" w:hAnsi="宋体" w:eastAsia="宋体" w:cs="宋体"/>
          <w:b w:val="0"/>
          <w:i w:val="0"/>
          <w:iCs/>
          <w:color w:val="auto"/>
          <w:sz w:val="24"/>
          <w:highlight w:val="none"/>
        </w:rPr>
        <w:t>，不需此件）</w:t>
      </w:r>
    </w:p>
    <w:p w14:paraId="44A4B8E9">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联合体成员一名称：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CB39F87">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联合体成员二名称：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531383E8">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w:t>
      </w:r>
    </w:p>
    <w:p w14:paraId="308E55D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上述各成员单位经过友好协商，自愿组成联合体，共同参加本项目的</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，现就联合体参加</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事宜订立如下协议：</w:t>
      </w:r>
    </w:p>
    <w:p w14:paraId="64590DE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（成员单位名称）为联合体牵头人。</w:t>
      </w:r>
    </w:p>
    <w:p w14:paraId="0C6B019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2.在本项目</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阶段，联合体牵头人负责</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项目的一切组织、协调工作，并授权代理人以联合体的名义参加项目的</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，代理人在</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、合同签订过程中所签署的一切文件和处理与本次</w:t>
      </w:r>
      <w:r>
        <w:rPr>
          <w:rFonts w:hint="eastAsia" w:ascii="宋体" w:hAnsi="宋体" w:cs="宋体"/>
          <w:color w:val="auto"/>
          <w:sz w:val="24"/>
          <w:highlight w:val="none"/>
          <w:lang w:val="en-US" w:eastAsia="zh-CN"/>
        </w:rPr>
        <w:t>发包</w:t>
      </w:r>
      <w:r>
        <w:rPr>
          <w:rFonts w:hint="eastAsia" w:ascii="宋体" w:hAnsi="宋体" w:eastAsia="宋体" w:cs="宋体"/>
          <w:color w:val="auto"/>
          <w:sz w:val="24"/>
          <w:highlight w:val="none"/>
        </w:rPr>
        <w:t>有关的一切事务，联合体各方均予以承认并承担法律责任。联合体成交后，联合体各方共同与</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签订合同，就本项目对</w:t>
      </w:r>
      <w:r>
        <w:rPr>
          <w:rFonts w:hint="eastAsia" w:ascii="宋体" w:hAnsi="宋体" w:cs="宋体"/>
          <w:color w:val="auto"/>
          <w:sz w:val="24"/>
          <w:highlight w:val="none"/>
          <w:lang w:eastAsia="zh-CN"/>
        </w:rPr>
        <w:t>发包人</w:t>
      </w:r>
      <w:r>
        <w:rPr>
          <w:rFonts w:hint="eastAsia" w:ascii="宋体" w:hAnsi="宋体" w:eastAsia="宋体" w:cs="宋体"/>
          <w:color w:val="auto"/>
          <w:sz w:val="24"/>
          <w:highlight w:val="none"/>
        </w:rPr>
        <w:t>承担连带责任。</w:t>
      </w:r>
    </w:p>
    <w:p w14:paraId="0590787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3.联合体各成员单位内部的职责分工及各方负责内容的合同金额占总合同金额的百分比如下：</w:t>
      </w:r>
    </w:p>
    <w:p w14:paraId="09ADB324">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联合体成员一名称：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，承担</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工作，负责内容的合同金额占总合同金额的百分比：</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C01CAFE">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联合体成员二名称：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，承担</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工作，负责内容的合同金额占总合同金额的百分比：</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3134030">
      <w:pPr>
        <w:spacing w:line="360" w:lineRule="auto"/>
        <w:ind w:firstLine="435"/>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w:t>
      </w:r>
    </w:p>
    <w:p w14:paraId="64A38AC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cs="宋体"/>
          <w:color w:val="auto"/>
          <w:sz w:val="24"/>
          <w:highlight w:val="none"/>
          <w:lang w:val="en-US" w:eastAsia="zh-CN"/>
        </w:rPr>
        <w:t>评审</w:t>
      </w:r>
      <w:r>
        <w:rPr>
          <w:rFonts w:hint="eastAsia" w:ascii="宋体" w:hAnsi="宋体" w:eastAsia="宋体" w:cs="宋体"/>
          <w:color w:val="auto"/>
          <w:sz w:val="24"/>
          <w:highlight w:val="none"/>
        </w:rPr>
        <w:t>工作和联合体在成交后项目实施过程中的有关费用按各自承担的工作量分摊。</w:t>
      </w:r>
    </w:p>
    <w:p w14:paraId="60E1F21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5．联合体成交后，本联合协议是合同的附件，对联合体各成员单位有合同约束力。</w:t>
      </w:r>
    </w:p>
    <w:p w14:paraId="0BECFCB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6．本协议书自签署之日起生效，联合体未成交或者合同履行完毕后自动失效。</w:t>
      </w:r>
    </w:p>
    <w:p w14:paraId="562B59F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联合体成员一：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（公章）</w:t>
      </w:r>
    </w:p>
    <w:p w14:paraId="49F75A6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（签字或盖章）</w:t>
      </w:r>
    </w:p>
    <w:p w14:paraId="3C9025B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联合体成员二：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（公章）</w:t>
      </w:r>
    </w:p>
    <w:p w14:paraId="380FAB9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（签字或盖章）</w:t>
      </w:r>
    </w:p>
    <w:p w14:paraId="3145F31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7F8497D5">
      <w:pPr>
        <w:pStyle w:val="21"/>
        <w:spacing w:line="360" w:lineRule="auto"/>
        <w:rPr>
          <w:rFonts w:hint="eastAsia" w:ascii="宋体" w:hAnsi="宋体" w:eastAsia="宋体" w:cs="宋体"/>
          <w:color w:val="auto"/>
          <w:sz w:val="24"/>
          <w:highlight w:val="none"/>
        </w:rPr>
      </w:pPr>
    </w:p>
    <w:p w14:paraId="463D5348">
      <w:pPr>
        <w:jc w:val="righ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签订日期</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年   月   日</w:t>
      </w:r>
    </w:p>
    <w:p w14:paraId="710584F2">
      <w:pPr>
        <w:jc w:val="both"/>
        <w:rPr>
          <w:rFonts w:hint="eastAsia" w:ascii="宋体" w:hAnsi="宋体" w:eastAsia="宋体" w:cs="宋体"/>
          <w:color w:val="auto"/>
          <w:sz w:val="28"/>
          <w:highlight w:val="none"/>
        </w:rPr>
      </w:pPr>
      <w:r>
        <w:rPr>
          <w:rFonts w:hint="eastAsia" w:ascii="宋体" w:hAnsi="宋体" w:eastAsia="宋体" w:cs="宋体"/>
          <w:color w:val="auto"/>
          <w:sz w:val="28"/>
          <w:highlight w:val="none"/>
        </w:rPr>
        <w:br w:type="page"/>
      </w:r>
    </w:p>
    <w:p w14:paraId="0EADBF24">
      <w:pPr>
        <w:bidi w:val="0"/>
        <w:jc w:val="center"/>
        <w:rPr>
          <w:rFonts w:hint="eastAsia" w:ascii="宋体" w:hAnsi="宋体" w:eastAsia="宋体" w:cs="宋体"/>
          <w:color w:val="auto"/>
          <w:szCs w:val="24"/>
          <w:highlight w:val="none"/>
          <w:lang w:val="en-US" w:eastAsia="zh-CN"/>
        </w:rPr>
      </w:pPr>
      <w:bookmarkStart w:id="106" w:name="_Toc15154"/>
      <w:r>
        <w:rPr>
          <w:rFonts w:hint="eastAsia" w:ascii="宋体" w:hAnsi="宋体" w:eastAsia="宋体" w:cs="宋体"/>
          <w:b/>
          <w:color w:val="auto"/>
          <w:highlight w:val="none"/>
          <w:lang w:val="en-US" w:eastAsia="zh-CN"/>
        </w:rPr>
        <w:t>八</w:t>
      </w:r>
      <w:r>
        <w:rPr>
          <w:rFonts w:hint="eastAsia" w:ascii="宋体" w:hAnsi="宋体" w:eastAsia="宋体" w:cs="宋体"/>
          <w:b/>
          <w:bCs/>
          <w:color w:val="auto"/>
          <w:sz w:val="24"/>
          <w:szCs w:val="22"/>
          <w:highlight w:val="none"/>
        </w:rPr>
        <w:t>、其他资格</w:t>
      </w:r>
      <w:bookmarkEnd w:id="106"/>
      <w:r>
        <w:rPr>
          <w:rFonts w:hint="eastAsia" w:ascii="宋体" w:hAnsi="宋体" w:eastAsia="宋体" w:cs="宋体"/>
          <w:b/>
          <w:bCs/>
          <w:color w:val="auto"/>
          <w:sz w:val="24"/>
          <w:szCs w:val="22"/>
          <w:highlight w:val="none"/>
          <w:lang w:val="en-US" w:eastAsia="zh-CN"/>
        </w:rPr>
        <w:t>证明材料</w:t>
      </w:r>
    </w:p>
    <w:p w14:paraId="7CC527B9">
      <w:pPr>
        <w:pStyle w:val="4"/>
        <w:keepNext/>
        <w:keepLines/>
        <w:pageBreakBefore w:val="0"/>
        <w:widowControl w:val="0"/>
        <w:kinsoku/>
        <w:wordWrap/>
        <w:overflowPunct/>
        <w:topLinePunct w:val="0"/>
        <w:autoSpaceDE/>
        <w:autoSpaceDN/>
        <w:bidi w:val="0"/>
        <w:adjustRightInd/>
        <w:snapToGrid/>
        <w:spacing w:before="140" w:after="140" w:line="416" w:lineRule="auto"/>
        <w:jc w:val="center"/>
        <w:textAlignment w:val="auto"/>
        <w:rPr>
          <w:rFonts w:hint="eastAsia" w:ascii="宋体" w:hAnsi="宋体" w:eastAsia="宋体" w:cs="宋体"/>
          <w:color w:val="auto"/>
          <w:sz w:val="24"/>
          <w:szCs w:val="24"/>
          <w:highlight w:val="none"/>
        </w:rPr>
      </w:pPr>
      <w:bookmarkStart w:id="107" w:name="_Toc31168"/>
      <w:bookmarkStart w:id="108" w:name="_Toc2753"/>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如有，</w:t>
      </w:r>
      <w:r>
        <w:rPr>
          <w:rFonts w:hint="eastAsia" w:ascii="宋体" w:hAnsi="宋体" w:eastAsia="宋体" w:cs="宋体"/>
          <w:b w:val="0"/>
          <w:bCs w:val="0"/>
          <w:color w:val="auto"/>
          <w:sz w:val="24"/>
          <w:szCs w:val="24"/>
          <w:highlight w:val="none"/>
        </w:rPr>
        <w:t>提供符合</w:t>
      </w:r>
      <w:r>
        <w:rPr>
          <w:rFonts w:hint="eastAsia" w:ascii="宋体" w:hAnsi="宋体" w:cs="宋体"/>
          <w:b w:val="0"/>
          <w:bCs w:val="0"/>
          <w:color w:val="auto"/>
          <w:sz w:val="24"/>
          <w:szCs w:val="24"/>
          <w:highlight w:val="none"/>
          <w:lang w:val="en-US" w:eastAsia="zh-CN"/>
        </w:rPr>
        <w:t>发包文件</w:t>
      </w:r>
      <w:r>
        <w:rPr>
          <w:rFonts w:hint="eastAsia" w:ascii="宋体" w:hAnsi="宋体" w:eastAsia="宋体" w:cs="宋体"/>
          <w:b w:val="0"/>
          <w:bCs w:val="0"/>
          <w:color w:val="auto"/>
          <w:sz w:val="24"/>
          <w:szCs w:val="24"/>
          <w:highlight w:val="none"/>
          <w:lang w:val="en-US" w:eastAsia="zh-CN"/>
        </w:rPr>
        <w:t>要求的其他资格</w:t>
      </w:r>
      <w:r>
        <w:rPr>
          <w:rFonts w:hint="eastAsia" w:ascii="宋体" w:hAnsi="宋体" w:eastAsia="宋体" w:cs="宋体"/>
          <w:b w:val="0"/>
          <w:bCs w:val="0"/>
          <w:color w:val="auto"/>
          <w:sz w:val="24"/>
          <w:szCs w:val="24"/>
          <w:highlight w:val="none"/>
        </w:rPr>
        <w:t>证明</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w:t>
      </w:r>
      <w:bookmarkEnd w:id="107"/>
      <w:bookmarkEnd w:id="108"/>
    </w:p>
    <w:p w14:paraId="0834B37C">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64A0FB04">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九、</w:t>
      </w:r>
      <w:r>
        <w:rPr>
          <w:rFonts w:hint="eastAsia" w:ascii="宋体" w:hAnsi="宋体" w:cs="宋体"/>
          <w:b/>
          <w:color w:val="auto"/>
          <w:sz w:val="24"/>
          <w:highlight w:val="none"/>
          <w:lang w:val="en-US" w:eastAsia="zh-CN"/>
        </w:rPr>
        <w:t>响应情况</w:t>
      </w:r>
      <w:r>
        <w:rPr>
          <w:rFonts w:hint="eastAsia" w:ascii="宋体" w:hAnsi="宋体" w:eastAsia="宋体" w:cs="宋体"/>
          <w:b/>
          <w:color w:val="auto"/>
          <w:sz w:val="24"/>
          <w:highlight w:val="none"/>
        </w:rPr>
        <w:t>表</w:t>
      </w:r>
    </w:p>
    <w:p w14:paraId="4CDAB646">
      <w:pPr>
        <w:spacing w:line="360" w:lineRule="auto"/>
        <w:ind w:firstLine="435"/>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6.1商务响应表</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150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514A182E">
            <w:pPr>
              <w:pStyle w:val="13"/>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124" w:type="pct"/>
            <w:vAlign w:val="center"/>
          </w:tcPr>
          <w:p w14:paraId="01DE6609">
            <w:pPr>
              <w:pStyle w:val="13"/>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商务条款</w:t>
            </w:r>
          </w:p>
        </w:tc>
        <w:tc>
          <w:tcPr>
            <w:tcW w:w="1465" w:type="pct"/>
            <w:vAlign w:val="center"/>
          </w:tcPr>
          <w:p w14:paraId="3BB12FF5">
            <w:pPr>
              <w:pStyle w:val="13"/>
              <w:jc w:val="center"/>
              <w:rPr>
                <w:rFonts w:hint="eastAsia" w:ascii="宋体" w:hAnsi="宋体" w:eastAsia="宋体" w:cs="宋体"/>
                <w:b/>
                <w:color w:val="auto"/>
                <w:sz w:val="24"/>
                <w:highlight w:val="none"/>
              </w:rPr>
            </w:pPr>
            <w:r>
              <w:rPr>
                <w:rFonts w:hint="eastAsia" w:hAnsi="宋体" w:eastAsia="宋体" w:cs="宋体"/>
                <w:b/>
                <w:color w:val="auto"/>
                <w:sz w:val="24"/>
                <w:highlight w:val="none"/>
                <w:lang w:eastAsia="zh-CN"/>
              </w:rPr>
              <w:t>发包文件</w:t>
            </w:r>
            <w:r>
              <w:rPr>
                <w:rFonts w:hint="eastAsia" w:ascii="宋体" w:hAnsi="宋体" w:eastAsia="宋体" w:cs="宋体"/>
                <w:b/>
                <w:color w:val="auto"/>
                <w:sz w:val="24"/>
                <w:highlight w:val="none"/>
              </w:rPr>
              <w:t>要求</w:t>
            </w:r>
          </w:p>
        </w:tc>
        <w:tc>
          <w:tcPr>
            <w:tcW w:w="1510" w:type="pct"/>
            <w:vAlign w:val="center"/>
          </w:tcPr>
          <w:p w14:paraId="27562B8F">
            <w:pPr>
              <w:pStyle w:val="13"/>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供应商</w:t>
            </w:r>
            <w:r>
              <w:rPr>
                <w:rFonts w:hint="eastAsia" w:ascii="宋体" w:hAnsi="宋体" w:eastAsia="宋体" w:cs="宋体"/>
                <w:b/>
                <w:color w:val="auto"/>
                <w:sz w:val="24"/>
                <w:highlight w:val="none"/>
                <w:lang w:val="en-US" w:eastAsia="zh-CN"/>
              </w:rPr>
              <w:t>承诺</w:t>
            </w:r>
          </w:p>
        </w:tc>
        <w:tc>
          <w:tcPr>
            <w:tcW w:w="475" w:type="pct"/>
            <w:vAlign w:val="center"/>
          </w:tcPr>
          <w:p w14:paraId="710D1DF3">
            <w:pPr>
              <w:pStyle w:val="13"/>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1298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77BDABE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24" w:type="pct"/>
            <w:vAlign w:val="center"/>
          </w:tcPr>
          <w:p w14:paraId="0958AB0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付款方式</w:t>
            </w:r>
          </w:p>
        </w:tc>
        <w:tc>
          <w:tcPr>
            <w:tcW w:w="1465" w:type="pct"/>
            <w:vAlign w:val="center"/>
          </w:tcPr>
          <w:p w14:paraId="055CD268">
            <w:pPr>
              <w:jc w:val="center"/>
              <w:rPr>
                <w:rFonts w:hint="eastAsia" w:ascii="宋体" w:hAnsi="宋体" w:eastAsia="宋体" w:cs="宋体"/>
                <w:color w:val="auto"/>
                <w:sz w:val="24"/>
                <w:highlight w:val="none"/>
              </w:rPr>
            </w:pPr>
          </w:p>
        </w:tc>
        <w:tc>
          <w:tcPr>
            <w:tcW w:w="1510" w:type="pct"/>
            <w:vAlign w:val="center"/>
          </w:tcPr>
          <w:p w14:paraId="3089AFA4">
            <w:pPr>
              <w:jc w:val="center"/>
              <w:rPr>
                <w:rFonts w:hint="eastAsia" w:ascii="宋体" w:hAnsi="宋体" w:eastAsia="宋体" w:cs="宋体"/>
                <w:color w:val="auto"/>
                <w:sz w:val="24"/>
                <w:highlight w:val="none"/>
              </w:rPr>
            </w:pPr>
          </w:p>
        </w:tc>
        <w:tc>
          <w:tcPr>
            <w:tcW w:w="475" w:type="pct"/>
            <w:vAlign w:val="center"/>
          </w:tcPr>
          <w:p w14:paraId="2C74BCE6">
            <w:pPr>
              <w:jc w:val="center"/>
              <w:rPr>
                <w:rFonts w:hint="eastAsia" w:ascii="宋体" w:hAnsi="宋体" w:eastAsia="宋体" w:cs="宋体"/>
                <w:color w:val="auto"/>
                <w:sz w:val="24"/>
                <w:highlight w:val="none"/>
              </w:rPr>
            </w:pPr>
          </w:p>
        </w:tc>
      </w:tr>
      <w:tr w14:paraId="3710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8C6201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24" w:type="pct"/>
            <w:vAlign w:val="center"/>
          </w:tcPr>
          <w:p w14:paraId="2C30272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服务地点</w:t>
            </w:r>
          </w:p>
        </w:tc>
        <w:tc>
          <w:tcPr>
            <w:tcW w:w="1465" w:type="pct"/>
            <w:vAlign w:val="center"/>
          </w:tcPr>
          <w:p w14:paraId="776B4C4C">
            <w:pPr>
              <w:jc w:val="center"/>
              <w:rPr>
                <w:rFonts w:hint="eastAsia" w:ascii="宋体" w:hAnsi="宋体" w:eastAsia="宋体" w:cs="宋体"/>
                <w:color w:val="auto"/>
                <w:sz w:val="24"/>
                <w:highlight w:val="none"/>
              </w:rPr>
            </w:pPr>
          </w:p>
        </w:tc>
        <w:tc>
          <w:tcPr>
            <w:tcW w:w="1510" w:type="pct"/>
            <w:vAlign w:val="center"/>
          </w:tcPr>
          <w:p w14:paraId="178D209D">
            <w:pPr>
              <w:jc w:val="center"/>
              <w:rPr>
                <w:rFonts w:hint="eastAsia" w:ascii="宋体" w:hAnsi="宋体" w:eastAsia="宋体" w:cs="宋体"/>
                <w:color w:val="auto"/>
                <w:sz w:val="24"/>
                <w:highlight w:val="none"/>
              </w:rPr>
            </w:pPr>
          </w:p>
        </w:tc>
        <w:tc>
          <w:tcPr>
            <w:tcW w:w="475" w:type="pct"/>
            <w:vAlign w:val="center"/>
          </w:tcPr>
          <w:p w14:paraId="72DE3AEA">
            <w:pPr>
              <w:jc w:val="center"/>
              <w:rPr>
                <w:rFonts w:hint="eastAsia" w:ascii="宋体" w:hAnsi="宋体" w:eastAsia="宋体" w:cs="宋体"/>
                <w:color w:val="auto"/>
                <w:sz w:val="24"/>
                <w:highlight w:val="none"/>
              </w:rPr>
            </w:pPr>
          </w:p>
        </w:tc>
      </w:tr>
      <w:tr w14:paraId="0977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D83DE1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24" w:type="pct"/>
            <w:vAlign w:val="center"/>
          </w:tcPr>
          <w:p w14:paraId="6E81EB1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服务期限</w:t>
            </w:r>
          </w:p>
        </w:tc>
        <w:tc>
          <w:tcPr>
            <w:tcW w:w="1465" w:type="pct"/>
            <w:vAlign w:val="center"/>
          </w:tcPr>
          <w:p w14:paraId="63BE98BA">
            <w:pPr>
              <w:jc w:val="center"/>
              <w:rPr>
                <w:rFonts w:hint="eastAsia" w:ascii="宋体" w:hAnsi="宋体" w:eastAsia="宋体" w:cs="宋体"/>
                <w:color w:val="auto"/>
                <w:sz w:val="24"/>
                <w:highlight w:val="none"/>
              </w:rPr>
            </w:pPr>
          </w:p>
        </w:tc>
        <w:tc>
          <w:tcPr>
            <w:tcW w:w="1510" w:type="pct"/>
            <w:vAlign w:val="center"/>
          </w:tcPr>
          <w:p w14:paraId="5DEE3DCE">
            <w:pPr>
              <w:pStyle w:val="53"/>
              <w:jc w:val="center"/>
              <w:rPr>
                <w:rFonts w:hint="eastAsia" w:ascii="宋体" w:hAnsi="宋体" w:eastAsia="宋体" w:cs="宋体"/>
                <w:color w:val="auto"/>
                <w:highlight w:val="none"/>
              </w:rPr>
            </w:pPr>
          </w:p>
        </w:tc>
        <w:tc>
          <w:tcPr>
            <w:tcW w:w="475" w:type="pct"/>
            <w:vAlign w:val="center"/>
          </w:tcPr>
          <w:p w14:paraId="15B272ED">
            <w:pPr>
              <w:jc w:val="center"/>
              <w:rPr>
                <w:rFonts w:hint="eastAsia" w:ascii="宋体" w:hAnsi="宋体" w:eastAsia="宋体" w:cs="宋体"/>
                <w:color w:val="auto"/>
                <w:sz w:val="24"/>
                <w:highlight w:val="none"/>
              </w:rPr>
            </w:pPr>
          </w:p>
        </w:tc>
      </w:tr>
      <w:tr w14:paraId="71AC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0597CC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124" w:type="pct"/>
            <w:vAlign w:val="center"/>
          </w:tcPr>
          <w:p w14:paraId="1D43B320">
            <w:pPr>
              <w:jc w:val="center"/>
              <w:rPr>
                <w:rFonts w:hint="eastAsia" w:ascii="宋体" w:hAnsi="宋体" w:eastAsia="宋体" w:cs="宋体"/>
                <w:color w:val="auto"/>
                <w:sz w:val="24"/>
                <w:highlight w:val="none"/>
              </w:rPr>
            </w:pPr>
          </w:p>
        </w:tc>
        <w:tc>
          <w:tcPr>
            <w:tcW w:w="1465" w:type="pct"/>
            <w:vAlign w:val="center"/>
          </w:tcPr>
          <w:p w14:paraId="01B2F439">
            <w:pPr>
              <w:jc w:val="center"/>
              <w:rPr>
                <w:rFonts w:hint="eastAsia" w:ascii="宋体" w:hAnsi="宋体" w:eastAsia="宋体" w:cs="宋体"/>
                <w:color w:val="auto"/>
                <w:sz w:val="24"/>
                <w:highlight w:val="none"/>
              </w:rPr>
            </w:pPr>
          </w:p>
        </w:tc>
        <w:tc>
          <w:tcPr>
            <w:tcW w:w="1510" w:type="pct"/>
            <w:vAlign w:val="center"/>
          </w:tcPr>
          <w:p w14:paraId="2F0C098D">
            <w:pPr>
              <w:jc w:val="center"/>
              <w:rPr>
                <w:rFonts w:hint="eastAsia" w:ascii="宋体" w:hAnsi="宋体" w:eastAsia="宋体" w:cs="宋体"/>
                <w:color w:val="auto"/>
                <w:sz w:val="24"/>
                <w:highlight w:val="none"/>
              </w:rPr>
            </w:pPr>
          </w:p>
        </w:tc>
        <w:tc>
          <w:tcPr>
            <w:tcW w:w="475" w:type="pct"/>
            <w:vAlign w:val="center"/>
          </w:tcPr>
          <w:p w14:paraId="3E9A22C2">
            <w:pPr>
              <w:jc w:val="center"/>
              <w:rPr>
                <w:rFonts w:hint="eastAsia" w:ascii="宋体" w:hAnsi="宋体" w:eastAsia="宋体" w:cs="宋体"/>
                <w:color w:val="auto"/>
                <w:sz w:val="24"/>
                <w:highlight w:val="none"/>
              </w:rPr>
            </w:pPr>
          </w:p>
        </w:tc>
      </w:tr>
    </w:tbl>
    <w:p w14:paraId="71855090">
      <w:pPr>
        <w:spacing w:line="360" w:lineRule="auto"/>
        <w:ind w:firstLine="435"/>
        <w:outlineLvl w:val="2"/>
        <w:rPr>
          <w:rFonts w:hint="eastAsia" w:ascii="宋体" w:hAnsi="宋体" w:eastAsia="宋体" w:cs="宋体"/>
          <w:b/>
          <w:color w:val="auto"/>
          <w:sz w:val="24"/>
          <w:highlight w:val="none"/>
        </w:rPr>
      </w:pPr>
    </w:p>
    <w:p w14:paraId="396572DB">
      <w:pPr>
        <w:spacing w:line="360" w:lineRule="auto"/>
        <w:ind w:firstLine="435"/>
        <w:outlineLvl w:val="2"/>
        <w:rPr>
          <w:rFonts w:hint="eastAsia" w:ascii="宋体" w:hAnsi="宋体" w:eastAsia="宋体" w:cs="宋体"/>
          <w:bCs/>
          <w:i/>
          <w:iCs/>
          <w:color w:val="auto"/>
          <w:sz w:val="24"/>
          <w:highlight w:val="none"/>
        </w:rPr>
      </w:pPr>
      <w:r>
        <w:rPr>
          <w:rFonts w:hint="eastAsia" w:ascii="宋体" w:hAnsi="宋体" w:eastAsia="宋体" w:cs="宋体"/>
          <w:b/>
          <w:color w:val="auto"/>
          <w:sz w:val="24"/>
          <w:highlight w:val="none"/>
        </w:rPr>
        <w:t>6.2技术响应表</w:t>
      </w:r>
      <w:r>
        <w:rPr>
          <w:rFonts w:hint="eastAsia" w:ascii="宋体" w:hAnsi="宋体" w:eastAsia="宋体" w:cs="宋体"/>
          <w:i/>
          <w:iCs/>
          <w:color w:val="auto"/>
          <w:sz w:val="24"/>
          <w:szCs w:val="18"/>
          <w:highlight w:val="none"/>
        </w:rPr>
        <w:t>（本条可编辑，适用于含货物采购的服务项目，如无需，请删去</w:t>
      </w:r>
      <w:r>
        <w:rPr>
          <w:rFonts w:hint="eastAsia" w:ascii="宋体" w:hAnsi="宋体" w:eastAsia="宋体" w:cs="宋体"/>
          <w:i/>
          <w:iCs/>
          <w:color w:val="auto"/>
          <w:sz w:val="24"/>
          <w:szCs w:val="18"/>
          <w:highlight w:val="none"/>
          <w:lang w:val="en-US" w:eastAsia="zh-CN"/>
        </w:rPr>
        <w:t>表格中有关货物填写要求</w:t>
      </w:r>
      <w:r>
        <w:rPr>
          <w:rFonts w:hint="eastAsia" w:ascii="宋体" w:hAnsi="宋体" w:eastAsia="宋体" w:cs="宋体"/>
          <w:i/>
          <w:iCs/>
          <w:color w:val="auto"/>
          <w:sz w:val="24"/>
          <w:szCs w:val="18"/>
          <w:highlight w:val="none"/>
        </w:rPr>
        <w:t>）</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560"/>
        <w:gridCol w:w="2539"/>
        <w:gridCol w:w="2810"/>
        <w:gridCol w:w="856"/>
      </w:tblGrid>
      <w:tr w14:paraId="6048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4" w:type="pct"/>
            <w:shd w:val="clear" w:color="auto" w:fill="auto"/>
            <w:vAlign w:val="center"/>
          </w:tcPr>
          <w:p w14:paraId="0254EAB8">
            <w:pPr>
              <w:pStyle w:val="13"/>
              <w:jc w:val="center"/>
              <w:rPr>
                <w:rFonts w:hint="eastAsia" w:ascii="宋体" w:hAnsi="宋体" w:eastAsia="宋体" w:cs="宋体"/>
                <w:b/>
                <w:color w:val="auto"/>
                <w:kern w:val="2"/>
                <w:sz w:val="24"/>
                <w:szCs w:val="22"/>
                <w:highlight w:val="none"/>
                <w:lang w:val="en-US" w:eastAsia="zh-CN" w:bidi="ar-SA"/>
              </w:rPr>
            </w:pPr>
            <w:r>
              <w:rPr>
                <w:rFonts w:hint="eastAsia" w:ascii="宋体" w:hAnsi="宋体" w:eastAsia="宋体" w:cs="宋体"/>
                <w:b/>
                <w:color w:val="auto"/>
                <w:sz w:val="24"/>
                <w:highlight w:val="none"/>
              </w:rPr>
              <w:t>序号</w:t>
            </w:r>
          </w:p>
        </w:tc>
        <w:tc>
          <w:tcPr>
            <w:tcW w:w="915" w:type="pct"/>
            <w:shd w:val="clear" w:color="auto" w:fill="auto"/>
            <w:vAlign w:val="center"/>
          </w:tcPr>
          <w:p w14:paraId="2752790A">
            <w:pPr>
              <w:pStyle w:val="13"/>
              <w:jc w:val="center"/>
              <w:rPr>
                <w:rFonts w:hint="eastAsia" w:ascii="宋体" w:hAnsi="宋体" w:eastAsia="宋体" w:cs="宋体"/>
                <w:b/>
                <w:color w:val="auto"/>
                <w:kern w:val="2"/>
                <w:sz w:val="24"/>
                <w:szCs w:val="22"/>
                <w:highlight w:val="none"/>
                <w:lang w:val="en-US" w:eastAsia="zh-CN" w:bidi="ar-SA"/>
              </w:rPr>
            </w:pPr>
            <w:r>
              <w:rPr>
                <w:rFonts w:hint="eastAsia" w:ascii="宋体"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名称</w:t>
            </w:r>
          </w:p>
        </w:tc>
        <w:tc>
          <w:tcPr>
            <w:tcW w:w="1489" w:type="pct"/>
            <w:shd w:val="clear" w:color="auto" w:fill="auto"/>
            <w:vAlign w:val="center"/>
          </w:tcPr>
          <w:p w14:paraId="68018FCF">
            <w:pPr>
              <w:pStyle w:val="13"/>
              <w:jc w:val="center"/>
              <w:rPr>
                <w:rFonts w:hint="eastAsia" w:ascii="宋体" w:hAnsi="宋体" w:eastAsia="宋体" w:cs="宋体"/>
                <w:b/>
                <w:color w:val="auto"/>
                <w:kern w:val="2"/>
                <w:sz w:val="24"/>
                <w:szCs w:val="22"/>
                <w:highlight w:val="none"/>
                <w:lang w:val="en-US" w:eastAsia="zh-CN" w:bidi="ar-SA"/>
              </w:rPr>
            </w:pPr>
            <w:r>
              <w:rPr>
                <w:rFonts w:hint="eastAsia" w:hAnsi="宋体" w:eastAsia="宋体" w:cs="宋体"/>
                <w:b/>
                <w:color w:val="auto"/>
                <w:sz w:val="24"/>
                <w:highlight w:val="none"/>
                <w:lang w:eastAsia="zh-CN"/>
              </w:rPr>
              <w:t>发包文件</w:t>
            </w:r>
            <w:r>
              <w:rPr>
                <w:rFonts w:hint="eastAsia" w:ascii="宋体" w:hAnsi="宋体" w:eastAsia="宋体" w:cs="宋体"/>
                <w:b/>
                <w:color w:val="auto"/>
                <w:sz w:val="24"/>
                <w:highlight w:val="none"/>
              </w:rPr>
              <w:t>规定的</w:t>
            </w:r>
            <w:r>
              <w:rPr>
                <w:rFonts w:hint="eastAsia" w:ascii="宋体" w:hAnsi="宋体" w:eastAsia="宋体" w:cs="宋体"/>
                <w:b/>
                <w:color w:val="auto"/>
                <w:sz w:val="24"/>
                <w:highlight w:val="none"/>
                <w:lang w:val="en-US" w:eastAsia="zh-CN"/>
              </w:rPr>
              <w:t>服务</w:t>
            </w:r>
            <w:r>
              <w:rPr>
                <w:rFonts w:hint="eastAsia" w:ascii="宋体" w:hAnsi="宋体" w:eastAsia="宋体" w:cs="宋体"/>
                <w:b/>
                <w:color w:val="auto"/>
                <w:sz w:val="24"/>
                <w:highlight w:val="none"/>
              </w:rPr>
              <w:t>要求</w:t>
            </w:r>
          </w:p>
        </w:tc>
        <w:tc>
          <w:tcPr>
            <w:tcW w:w="1648" w:type="pct"/>
            <w:shd w:val="clear" w:color="auto" w:fill="auto"/>
            <w:vAlign w:val="center"/>
          </w:tcPr>
          <w:p w14:paraId="35AA5DBD">
            <w:pPr>
              <w:pStyle w:val="13"/>
              <w:jc w:val="center"/>
              <w:rPr>
                <w:rFonts w:hint="eastAsia" w:ascii="宋体" w:hAnsi="宋体" w:eastAsia="宋体" w:cs="宋体"/>
                <w:b/>
                <w:color w:val="auto"/>
                <w:kern w:val="2"/>
                <w:sz w:val="24"/>
                <w:szCs w:val="22"/>
                <w:highlight w:val="none"/>
                <w:lang w:val="en-US" w:eastAsia="zh-CN" w:bidi="ar-SA"/>
              </w:rPr>
            </w:pPr>
            <w:r>
              <w:rPr>
                <w:rFonts w:hint="eastAsia" w:ascii="宋体" w:hAnsi="宋体" w:eastAsia="宋体" w:cs="宋体"/>
                <w:b/>
                <w:color w:val="auto"/>
                <w:sz w:val="24"/>
                <w:highlight w:val="none"/>
                <w:lang w:val="en-US" w:eastAsia="zh-CN"/>
              </w:rPr>
              <w:t>供应商响应情况</w:t>
            </w:r>
          </w:p>
        </w:tc>
        <w:tc>
          <w:tcPr>
            <w:tcW w:w="502" w:type="pct"/>
            <w:shd w:val="clear" w:color="auto" w:fill="auto"/>
            <w:vAlign w:val="center"/>
          </w:tcPr>
          <w:p w14:paraId="10706858">
            <w:pPr>
              <w:pStyle w:val="13"/>
              <w:jc w:val="center"/>
              <w:rPr>
                <w:rFonts w:hint="eastAsia" w:ascii="宋体" w:hAnsi="宋体" w:eastAsia="宋体" w:cs="宋体"/>
                <w:b/>
                <w:color w:val="auto"/>
                <w:kern w:val="2"/>
                <w:sz w:val="24"/>
                <w:szCs w:val="22"/>
                <w:highlight w:val="none"/>
                <w:lang w:val="en-US" w:eastAsia="zh-CN" w:bidi="ar-SA"/>
              </w:rPr>
            </w:pPr>
            <w:r>
              <w:rPr>
                <w:rFonts w:hint="eastAsia" w:ascii="宋体" w:hAnsi="宋体" w:eastAsia="宋体" w:cs="宋体"/>
                <w:b/>
                <w:color w:val="auto"/>
                <w:sz w:val="24"/>
                <w:highlight w:val="none"/>
              </w:rPr>
              <w:t>偏离说明</w:t>
            </w:r>
          </w:p>
        </w:tc>
      </w:tr>
      <w:tr w14:paraId="683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444" w:type="pct"/>
            <w:shd w:val="clear" w:color="auto" w:fill="auto"/>
            <w:vAlign w:val="center"/>
          </w:tcPr>
          <w:p w14:paraId="6E7F3B30">
            <w:pPr>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kern w:val="2"/>
                <w:sz w:val="24"/>
                <w:highlight w:val="none"/>
                <w:lang w:val="en-US" w:eastAsia="zh-CN" w:bidi="ar-SA"/>
              </w:rPr>
              <w:t>1</w:t>
            </w:r>
          </w:p>
        </w:tc>
        <w:tc>
          <w:tcPr>
            <w:tcW w:w="915" w:type="pct"/>
            <w:shd w:val="clear" w:color="auto" w:fill="auto"/>
            <w:vAlign w:val="center"/>
          </w:tcPr>
          <w:p w14:paraId="34401B9D">
            <w:pPr>
              <w:pStyle w:val="13"/>
              <w:jc w:val="center"/>
              <w:rPr>
                <w:rFonts w:hint="eastAsia" w:ascii="宋体" w:hAnsi="宋体" w:eastAsia="宋体" w:cs="宋体"/>
                <w:b/>
                <w:bCs/>
                <w:color w:val="auto"/>
                <w:sz w:val="24"/>
                <w:szCs w:val="24"/>
                <w:highlight w:val="none"/>
              </w:rPr>
            </w:pPr>
          </w:p>
        </w:tc>
        <w:tc>
          <w:tcPr>
            <w:tcW w:w="1489" w:type="pct"/>
            <w:shd w:val="clear" w:color="auto" w:fill="auto"/>
            <w:vAlign w:val="center"/>
          </w:tcPr>
          <w:p w14:paraId="1865F9DE">
            <w:pPr>
              <w:pStyle w:val="13"/>
              <w:jc w:val="center"/>
              <w:rPr>
                <w:rFonts w:hint="eastAsia" w:ascii="宋体" w:hAnsi="宋体" w:eastAsia="宋体" w:cs="宋体"/>
                <w:b/>
                <w:color w:val="auto"/>
                <w:sz w:val="24"/>
                <w:highlight w:val="none"/>
              </w:rPr>
            </w:pPr>
          </w:p>
        </w:tc>
        <w:tc>
          <w:tcPr>
            <w:tcW w:w="1648" w:type="pct"/>
            <w:shd w:val="clear" w:color="auto" w:fill="auto"/>
            <w:vAlign w:val="center"/>
          </w:tcPr>
          <w:p w14:paraId="42760141">
            <w:pPr>
              <w:pStyle w:val="13"/>
              <w:jc w:val="center"/>
              <w:rPr>
                <w:rFonts w:hint="eastAsia" w:ascii="宋体" w:hAnsi="宋体" w:eastAsia="宋体" w:cs="宋体"/>
                <w:b/>
                <w:color w:val="auto"/>
                <w:sz w:val="24"/>
                <w:highlight w:val="none"/>
              </w:rPr>
            </w:pPr>
          </w:p>
        </w:tc>
        <w:tc>
          <w:tcPr>
            <w:tcW w:w="502" w:type="pct"/>
            <w:shd w:val="clear" w:color="auto" w:fill="auto"/>
            <w:vAlign w:val="center"/>
          </w:tcPr>
          <w:p w14:paraId="42EEFE5B">
            <w:pPr>
              <w:pStyle w:val="13"/>
              <w:jc w:val="center"/>
              <w:rPr>
                <w:rFonts w:hint="eastAsia" w:ascii="宋体" w:hAnsi="宋体" w:eastAsia="宋体" w:cs="宋体"/>
                <w:b/>
                <w:color w:val="auto"/>
                <w:sz w:val="24"/>
                <w:highlight w:val="none"/>
              </w:rPr>
            </w:pPr>
          </w:p>
        </w:tc>
      </w:tr>
      <w:tr w14:paraId="6D00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444" w:type="pct"/>
            <w:shd w:val="clear" w:color="auto" w:fill="auto"/>
            <w:vAlign w:val="center"/>
          </w:tcPr>
          <w:p w14:paraId="017B2E44">
            <w:pPr>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2</w:t>
            </w:r>
          </w:p>
        </w:tc>
        <w:tc>
          <w:tcPr>
            <w:tcW w:w="915" w:type="pct"/>
            <w:shd w:val="clear" w:color="auto" w:fill="auto"/>
            <w:vAlign w:val="center"/>
          </w:tcPr>
          <w:p w14:paraId="22DBD012">
            <w:pPr>
              <w:pStyle w:val="13"/>
              <w:jc w:val="center"/>
              <w:rPr>
                <w:rFonts w:hint="eastAsia" w:ascii="宋体" w:hAnsi="宋体" w:eastAsia="宋体" w:cs="宋体"/>
                <w:b/>
                <w:bCs/>
                <w:color w:val="auto"/>
                <w:sz w:val="24"/>
                <w:szCs w:val="24"/>
                <w:highlight w:val="none"/>
              </w:rPr>
            </w:pPr>
          </w:p>
        </w:tc>
        <w:tc>
          <w:tcPr>
            <w:tcW w:w="1489" w:type="pct"/>
            <w:shd w:val="clear" w:color="auto" w:fill="auto"/>
            <w:vAlign w:val="center"/>
          </w:tcPr>
          <w:p w14:paraId="244DF6DB">
            <w:pPr>
              <w:pStyle w:val="13"/>
              <w:jc w:val="center"/>
              <w:rPr>
                <w:rFonts w:hint="eastAsia" w:ascii="宋体" w:hAnsi="宋体" w:eastAsia="宋体" w:cs="宋体"/>
                <w:b/>
                <w:color w:val="auto"/>
                <w:sz w:val="24"/>
                <w:highlight w:val="none"/>
              </w:rPr>
            </w:pPr>
          </w:p>
        </w:tc>
        <w:tc>
          <w:tcPr>
            <w:tcW w:w="1648" w:type="pct"/>
            <w:shd w:val="clear" w:color="auto" w:fill="auto"/>
            <w:vAlign w:val="center"/>
          </w:tcPr>
          <w:p w14:paraId="25A6F196">
            <w:pPr>
              <w:pStyle w:val="13"/>
              <w:jc w:val="center"/>
              <w:rPr>
                <w:rFonts w:hint="eastAsia" w:ascii="宋体" w:hAnsi="宋体" w:eastAsia="宋体" w:cs="宋体"/>
                <w:b/>
                <w:color w:val="auto"/>
                <w:sz w:val="24"/>
                <w:highlight w:val="none"/>
              </w:rPr>
            </w:pPr>
          </w:p>
        </w:tc>
        <w:tc>
          <w:tcPr>
            <w:tcW w:w="502" w:type="pct"/>
            <w:shd w:val="clear" w:color="auto" w:fill="auto"/>
            <w:vAlign w:val="center"/>
          </w:tcPr>
          <w:p w14:paraId="59B38638">
            <w:pPr>
              <w:pStyle w:val="13"/>
              <w:jc w:val="center"/>
              <w:rPr>
                <w:rFonts w:hint="eastAsia" w:ascii="宋体" w:hAnsi="宋体" w:eastAsia="宋体" w:cs="宋体"/>
                <w:b/>
                <w:color w:val="auto"/>
                <w:sz w:val="24"/>
                <w:highlight w:val="none"/>
              </w:rPr>
            </w:pPr>
          </w:p>
        </w:tc>
      </w:tr>
      <w:tr w14:paraId="56E8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jc w:val="center"/>
        </w:trPr>
        <w:tc>
          <w:tcPr>
            <w:tcW w:w="444" w:type="pct"/>
            <w:shd w:val="clear" w:color="auto" w:fill="auto"/>
            <w:vAlign w:val="center"/>
          </w:tcPr>
          <w:p w14:paraId="36FE05E6">
            <w:pPr>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3</w:t>
            </w:r>
          </w:p>
        </w:tc>
        <w:tc>
          <w:tcPr>
            <w:tcW w:w="915" w:type="pct"/>
            <w:shd w:val="clear" w:color="auto" w:fill="auto"/>
            <w:vAlign w:val="center"/>
          </w:tcPr>
          <w:p w14:paraId="0B71A446">
            <w:pPr>
              <w:pStyle w:val="13"/>
              <w:jc w:val="center"/>
              <w:rPr>
                <w:rFonts w:hint="eastAsia" w:ascii="宋体" w:hAnsi="宋体" w:eastAsia="宋体" w:cs="宋体"/>
                <w:b/>
                <w:bCs/>
                <w:color w:val="auto"/>
                <w:sz w:val="24"/>
                <w:szCs w:val="24"/>
                <w:highlight w:val="none"/>
              </w:rPr>
            </w:pPr>
          </w:p>
        </w:tc>
        <w:tc>
          <w:tcPr>
            <w:tcW w:w="1489" w:type="pct"/>
            <w:shd w:val="clear" w:color="auto" w:fill="auto"/>
            <w:vAlign w:val="center"/>
          </w:tcPr>
          <w:p w14:paraId="612EE11A">
            <w:pPr>
              <w:pStyle w:val="13"/>
              <w:jc w:val="center"/>
              <w:rPr>
                <w:rFonts w:hint="eastAsia" w:ascii="宋体" w:hAnsi="宋体" w:eastAsia="宋体" w:cs="宋体"/>
                <w:b/>
                <w:color w:val="auto"/>
                <w:sz w:val="24"/>
                <w:highlight w:val="none"/>
              </w:rPr>
            </w:pPr>
          </w:p>
        </w:tc>
        <w:tc>
          <w:tcPr>
            <w:tcW w:w="1648" w:type="pct"/>
            <w:shd w:val="clear" w:color="auto" w:fill="auto"/>
            <w:vAlign w:val="center"/>
          </w:tcPr>
          <w:p w14:paraId="7A520B38">
            <w:pPr>
              <w:pStyle w:val="13"/>
              <w:jc w:val="center"/>
              <w:rPr>
                <w:rFonts w:hint="eastAsia" w:ascii="宋体" w:hAnsi="宋体" w:eastAsia="宋体" w:cs="宋体"/>
                <w:b/>
                <w:color w:val="auto"/>
                <w:sz w:val="24"/>
                <w:highlight w:val="none"/>
              </w:rPr>
            </w:pPr>
          </w:p>
        </w:tc>
        <w:tc>
          <w:tcPr>
            <w:tcW w:w="502" w:type="pct"/>
            <w:shd w:val="clear" w:color="auto" w:fill="auto"/>
            <w:vAlign w:val="center"/>
          </w:tcPr>
          <w:p w14:paraId="6754D94C">
            <w:pPr>
              <w:pStyle w:val="13"/>
              <w:jc w:val="center"/>
              <w:rPr>
                <w:rFonts w:hint="eastAsia" w:ascii="宋体" w:hAnsi="宋体" w:eastAsia="宋体" w:cs="宋体"/>
                <w:b/>
                <w:color w:val="auto"/>
                <w:sz w:val="24"/>
                <w:highlight w:val="none"/>
              </w:rPr>
            </w:pPr>
          </w:p>
        </w:tc>
      </w:tr>
      <w:tr w14:paraId="76F2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44" w:type="pct"/>
            <w:shd w:val="clear" w:color="auto" w:fill="auto"/>
            <w:vAlign w:val="center"/>
          </w:tcPr>
          <w:p w14:paraId="764385C0">
            <w:pPr>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rPr>
              <w:t>…</w:t>
            </w:r>
          </w:p>
        </w:tc>
        <w:tc>
          <w:tcPr>
            <w:tcW w:w="915" w:type="pct"/>
            <w:shd w:val="clear" w:color="auto" w:fill="auto"/>
            <w:vAlign w:val="center"/>
          </w:tcPr>
          <w:p w14:paraId="4EE00E26">
            <w:pPr>
              <w:pStyle w:val="13"/>
              <w:jc w:val="center"/>
              <w:rPr>
                <w:rFonts w:hint="eastAsia" w:ascii="宋体" w:hAnsi="宋体" w:eastAsia="宋体" w:cs="宋体"/>
                <w:b/>
                <w:bCs/>
                <w:color w:val="auto"/>
                <w:sz w:val="24"/>
                <w:szCs w:val="24"/>
                <w:highlight w:val="none"/>
              </w:rPr>
            </w:pPr>
          </w:p>
        </w:tc>
        <w:tc>
          <w:tcPr>
            <w:tcW w:w="1489" w:type="pct"/>
            <w:shd w:val="clear" w:color="auto" w:fill="auto"/>
            <w:vAlign w:val="center"/>
          </w:tcPr>
          <w:p w14:paraId="15BC5DEE">
            <w:pPr>
              <w:pStyle w:val="13"/>
              <w:jc w:val="center"/>
              <w:rPr>
                <w:rFonts w:hint="eastAsia" w:ascii="宋体" w:hAnsi="宋体" w:eastAsia="宋体" w:cs="宋体"/>
                <w:b/>
                <w:color w:val="auto"/>
                <w:sz w:val="24"/>
                <w:highlight w:val="none"/>
              </w:rPr>
            </w:pPr>
          </w:p>
        </w:tc>
        <w:tc>
          <w:tcPr>
            <w:tcW w:w="1648" w:type="pct"/>
            <w:shd w:val="clear" w:color="auto" w:fill="auto"/>
            <w:vAlign w:val="center"/>
          </w:tcPr>
          <w:p w14:paraId="514EE7A6">
            <w:pPr>
              <w:pStyle w:val="13"/>
              <w:jc w:val="center"/>
              <w:rPr>
                <w:rFonts w:hint="eastAsia" w:ascii="宋体" w:hAnsi="宋体" w:eastAsia="宋体" w:cs="宋体"/>
                <w:b/>
                <w:color w:val="auto"/>
                <w:sz w:val="24"/>
                <w:highlight w:val="none"/>
              </w:rPr>
            </w:pPr>
          </w:p>
        </w:tc>
        <w:tc>
          <w:tcPr>
            <w:tcW w:w="502" w:type="pct"/>
            <w:shd w:val="clear" w:color="auto" w:fill="auto"/>
            <w:vAlign w:val="center"/>
          </w:tcPr>
          <w:p w14:paraId="3AEBB69A">
            <w:pPr>
              <w:pStyle w:val="13"/>
              <w:jc w:val="center"/>
              <w:rPr>
                <w:rFonts w:hint="eastAsia" w:ascii="宋体" w:hAnsi="宋体" w:eastAsia="宋体" w:cs="宋体"/>
                <w:b/>
                <w:color w:val="auto"/>
                <w:sz w:val="24"/>
                <w:highlight w:val="none"/>
              </w:rPr>
            </w:pPr>
          </w:p>
        </w:tc>
      </w:tr>
      <w:tr w14:paraId="177E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4" w:type="pct"/>
            <w:vAlign w:val="center"/>
          </w:tcPr>
          <w:p w14:paraId="35BC2F68">
            <w:pPr>
              <w:pStyle w:val="13"/>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915" w:type="pct"/>
            <w:vAlign w:val="center"/>
          </w:tcPr>
          <w:p w14:paraId="68814B92">
            <w:pPr>
              <w:pStyle w:val="13"/>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货物名称</w:t>
            </w:r>
          </w:p>
        </w:tc>
        <w:tc>
          <w:tcPr>
            <w:tcW w:w="1489" w:type="pct"/>
            <w:vAlign w:val="center"/>
          </w:tcPr>
          <w:p w14:paraId="30D359F7">
            <w:pPr>
              <w:pStyle w:val="13"/>
              <w:jc w:val="center"/>
              <w:rPr>
                <w:rFonts w:hint="eastAsia" w:ascii="宋体" w:hAnsi="宋体" w:eastAsia="宋体" w:cs="宋体"/>
                <w:b/>
                <w:color w:val="auto"/>
                <w:sz w:val="24"/>
                <w:highlight w:val="none"/>
              </w:rPr>
            </w:pPr>
            <w:r>
              <w:rPr>
                <w:rFonts w:hint="eastAsia" w:hAnsi="宋体" w:eastAsia="宋体" w:cs="宋体"/>
                <w:b/>
                <w:color w:val="auto"/>
                <w:sz w:val="24"/>
                <w:highlight w:val="none"/>
                <w:lang w:eastAsia="zh-CN"/>
              </w:rPr>
              <w:t>发包文件</w:t>
            </w:r>
            <w:r>
              <w:rPr>
                <w:rFonts w:hint="eastAsia" w:ascii="宋体" w:hAnsi="宋体" w:eastAsia="宋体" w:cs="宋体"/>
                <w:b/>
                <w:color w:val="auto"/>
                <w:sz w:val="24"/>
                <w:highlight w:val="none"/>
              </w:rPr>
              <w:t>规定的技术参数要求</w:t>
            </w:r>
          </w:p>
        </w:tc>
        <w:tc>
          <w:tcPr>
            <w:tcW w:w="1648" w:type="pct"/>
            <w:vAlign w:val="center"/>
          </w:tcPr>
          <w:p w14:paraId="287C838C">
            <w:pPr>
              <w:pStyle w:val="13"/>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所投产品的品牌、型号及技术参数</w:t>
            </w:r>
          </w:p>
        </w:tc>
        <w:tc>
          <w:tcPr>
            <w:tcW w:w="502" w:type="pct"/>
            <w:vAlign w:val="center"/>
          </w:tcPr>
          <w:p w14:paraId="5B48E97E">
            <w:pPr>
              <w:pStyle w:val="13"/>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3064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1B41548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915" w:type="pct"/>
            <w:vAlign w:val="center"/>
          </w:tcPr>
          <w:p w14:paraId="7825D81F">
            <w:pPr>
              <w:jc w:val="center"/>
              <w:rPr>
                <w:rFonts w:hint="eastAsia" w:ascii="宋体" w:hAnsi="宋体" w:eastAsia="宋体" w:cs="宋体"/>
                <w:color w:val="auto"/>
                <w:sz w:val="24"/>
                <w:highlight w:val="none"/>
              </w:rPr>
            </w:pPr>
          </w:p>
        </w:tc>
        <w:tc>
          <w:tcPr>
            <w:tcW w:w="1489" w:type="pct"/>
            <w:vAlign w:val="center"/>
          </w:tcPr>
          <w:p w14:paraId="49555C27">
            <w:pPr>
              <w:jc w:val="center"/>
              <w:rPr>
                <w:rFonts w:hint="eastAsia" w:ascii="宋体" w:hAnsi="宋体" w:eastAsia="宋体" w:cs="宋体"/>
                <w:color w:val="auto"/>
                <w:sz w:val="24"/>
                <w:highlight w:val="none"/>
              </w:rPr>
            </w:pPr>
          </w:p>
        </w:tc>
        <w:tc>
          <w:tcPr>
            <w:tcW w:w="1648" w:type="pct"/>
            <w:vAlign w:val="center"/>
          </w:tcPr>
          <w:p w14:paraId="606AF4C5">
            <w:pPr>
              <w:jc w:val="center"/>
              <w:rPr>
                <w:rFonts w:hint="eastAsia" w:ascii="宋体" w:hAnsi="宋体" w:eastAsia="宋体" w:cs="宋体"/>
                <w:color w:val="auto"/>
                <w:sz w:val="24"/>
                <w:highlight w:val="none"/>
              </w:rPr>
            </w:pPr>
          </w:p>
        </w:tc>
        <w:tc>
          <w:tcPr>
            <w:tcW w:w="502" w:type="pct"/>
            <w:vAlign w:val="center"/>
          </w:tcPr>
          <w:p w14:paraId="5A114F30">
            <w:pPr>
              <w:jc w:val="center"/>
              <w:rPr>
                <w:rFonts w:hint="eastAsia" w:ascii="宋体" w:hAnsi="宋体" w:eastAsia="宋体" w:cs="宋体"/>
                <w:color w:val="auto"/>
                <w:sz w:val="24"/>
                <w:highlight w:val="none"/>
              </w:rPr>
            </w:pPr>
          </w:p>
        </w:tc>
      </w:tr>
      <w:tr w14:paraId="6C4F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3A189D3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915" w:type="pct"/>
            <w:vAlign w:val="center"/>
          </w:tcPr>
          <w:p w14:paraId="384C268D">
            <w:pPr>
              <w:jc w:val="center"/>
              <w:rPr>
                <w:rFonts w:hint="eastAsia" w:ascii="宋体" w:hAnsi="宋体" w:eastAsia="宋体" w:cs="宋体"/>
                <w:color w:val="auto"/>
                <w:sz w:val="24"/>
                <w:highlight w:val="none"/>
              </w:rPr>
            </w:pPr>
          </w:p>
        </w:tc>
        <w:tc>
          <w:tcPr>
            <w:tcW w:w="1489" w:type="pct"/>
            <w:vAlign w:val="center"/>
          </w:tcPr>
          <w:p w14:paraId="6ED0CED2">
            <w:pPr>
              <w:jc w:val="center"/>
              <w:rPr>
                <w:rFonts w:hint="eastAsia" w:ascii="宋体" w:hAnsi="宋体" w:eastAsia="宋体" w:cs="宋体"/>
                <w:color w:val="auto"/>
                <w:sz w:val="24"/>
                <w:highlight w:val="none"/>
              </w:rPr>
            </w:pPr>
          </w:p>
        </w:tc>
        <w:tc>
          <w:tcPr>
            <w:tcW w:w="1648" w:type="pct"/>
            <w:vAlign w:val="center"/>
          </w:tcPr>
          <w:p w14:paraId="5FDEE480">
            <w:pPr>
              <w:jc w:val="center"/>
              <w:rPr>
                <w:rFonts w:hint="eastAsia" w:ascii="宋体" w:hAnsi="宋体" w:eastAsia="宋体" w:cs="宋体"/>
                <w:color w:val="auto"/>
                <w:sz w:val="24"/>
                <w:highlight w:val="none"/>
              </w:rPr>
            </w:pPr>
          </w:p>
        </w:tc>
        <w:tc>
          <w:tcPr>
            <w:tcW w:w="502" w:type="pct"/>
            <w:vAlign w:val="center"/>
          </w:tcPr>
          <w:p w14:paraId="5362987D">
            <w:pPr>
              <w:jc w:val="center"/>
              <w:rPr>
                <w:rFonts w:hint="eastAsia" w:ascii="宋体" w:hAnsi="宋体" w:eastAsia="宋体" w:cs="宋体"/>
                <w:color w:val="auto"/>
                <w:sz w:val="24"/>
                <w:highlight w:val="none"/>
              </w:rPr>
            </w:pPr>
          </w:p>
        </w:tc>
      </w:tr>
      <w:tr w14:paraId="726C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63A7A50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915" w:type="pct"/>
            <w:vAlign w:val="center"/>
          </w:tcPr>
          <w:p w14:paraId="099F8BB7">
            <w:pPr>
              <w:jc w:val="center"/>
              <w:rPr>
                <w:rFonts w:hint="eastAsia" w:ascii="宋体" w:hAnsi="宋体" w:eastAsia="宋体" w:cs="宋体"/>
                <w:color w:val="auto"/>
                <w:sz w:val="24"/>
                <w:highlight w:val="none"/>
              </w:rPr>
            </w:pPr>
          </w:p>
        </w:tc>
        <w:tc>
          <w:tcPr>
            <w:tcW w:w="1489" w:type="pct"/>
            <w:vAlign w:val="center"/>
          </w:tcPr>
          <w:p w14:paraId="13A970BF">
            <w:pPr>
              <w:jc w:val="center"/>
              <w:rPr>
                <w:rFonts w:hint="eastAsia" w:ascii="宋体" w:hAnsi="宋体" w:eastAsia="宋体" w:cs="宋体"/>
                <w:color w:val="auto"/>
                <w:sz w:val="24"/>
                <w:highlight w:val="none"/>
              </w:rPr>
            </w:pPr>
          </w:p>
        </w:tc>
        <w:tc>
          <w:tcPr>
            <w:tcW w:w="1648" w:type="pct"/>
            <w:vAlign w:val="center"/>
          </w:tcPr>
          <w:p w14:paraId="269C634B">
            <w:pPr>
              <w:pStyle w:val="53"/>
              <w:jc w:val="center"/>
              <w:rPr>
                <w:rFonts w:hint="eastAsia" w:ascii="宋体" w:hAnsi="宋体" w:eastAsia="宋体" w:cs="宋体"/>
                <w:color w:val="auto"/>
                <w:highlight w:val="none"/>
              </w:rPr>
            </w:pPr>
          </w:p>
        </w:tc>
        <w:tc>
          <w:tcPr>
            <w:tcW w:w="502" w:type="pct"/>
            <w:vAlign w:val="center"/>
          </w:tcPr>
          <w:p w14:paraId="593D5BFE">
            <w:pPr>
              <w:jc w:val="center"/>
              <w:rPr>
                <w:rFonts w:hint="eastAsia" w:ascii="宋体" w:hAnsi="宋体" w:eastAsia="宋体" w:cs="宋体"/>
                <w:color w:val="auto"/>
                <w:sz w:val="24"/>
                <w:highlight w:val="none"/>
              </w:rPr>
            </w:pPr>
          </w:p>
        </w:tc>
      </w:tr>
      <w:tr w14:paraId="5DEA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6BA1717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915" w:type="pct"/>
            <w:vAlign w:val="center"/>
          </w:tcPr>
          <w:p w14:paraId="5B7B0F52">
            <w:pPr>
              <w:jc w:val="center"/>
              <w:rPr>
                <w:rFonts w:hint="eastAsia" w:ascii="宋体" w:hAnsi="宋体" w:eastAsia="宋体" w:cs="宋体"/>
                <w:color w:val="auto"/>
                <w:sz w:val="24"/>
                <w:highlight w:val="none"/>
              </w:rPr>
            </w:pPr>
          </w:p>
        </w:tc>
        <w:tc>
          <w:tcPr>
            <w:tcW w:w="1489" w:type="pct"/>
            <w:vAlign w:val="center"/>
          </w:tcPr>
          <w:p w14:paraId="1F712AFC">
            <w:pPr>
              <w:jc w:val="center"/>
              <w:rPr>
                <w:rFonts w:hint="eastAsia" w:ascii="宋体" w:hAnsi="宋体" w:eastAsia="宋体" w:cs="宋体"/>
                <w:color w:val="auto"/>
                <w:sz w:val="24"/>
                <w:highlight w:val="none"/>
              </w:rPr>
            </w:pPr>
          </w:p>
        </w:tc>
        <w:tc>
          <w:tcPr>
            <w:tcW w:w="1648" w:type="pct"/>
            <w:vAlign w:val="center"/>
          </w:tcPr>
          <w:p w14:paraId="4292D237">
            <w:pPr>
              <w:pStyle w:val="53"/>
              <w:jc w:val="center"/>
              <w:rPr>
                <w:rFonts w:hint="eastAsia" w:ascii="宋体" w:hAnsi="宋体" w:eastAsia="宋体" w:cs="宋体"/>
                <w:color w:val="auto"/>
                <w:highlight w:val="none"/>
              </w:rPr>
            </w:pPr>
          </w:p>
        </w:tc>
        <w:tc>
          <w:tcPr>
            <w:tcW w:w="502" w:type="pct"/>
            <w:vAlign w:val="center"/>
          </w:tcPr>
          <w:p w14:paraId="6EEBDC81">
            <w:pPr>
              <w:jc w:val="center"/>
              <w:rPr>
                <w:rFonts w:hint="eastAsia" w:ascii="宋体" w:hAnsi="宋体" w:eastAsia="宋体" w:cs="宋体"/>
                <w:color w:val="auto"/>
                <w:sz w:val="24"/>
                <w:highlight w:val="none"/>
              </w:rPr>
            </w:pPr>
          </w:p>
        </w:tc>
      </w:tr>
      <w:tr w14:paraId="279C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16A473B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915" w:type="pct"/>
            <w:vAlign w:val="center"/>
          </w:tcPr>
          <w:p w14:paraId="4DB9955E">
            <w:pPr>
              <w:jc w:val="center"/>
              <w:rPr>
                <w:rFonts w:hint="eastAsia" w:ascii="宋体" w:hAnsi="宋体" w:eastAsia="宋体" w:cs="宋体"/>
                <w:color w:val="auto"/>
                <w:sz w:val="24"/>
                <w:highlight w:val="none"/>
              </w:rPr>
            </w:pPr>
          </w:p>
        </w:tc>
        <w:tc>
          <w:tcPr>
            <w:tcW w:w="1489" w:type="pct"/>
            <w:vAlign w:val="center"/>
          </w:tcPr>
          <w:p w14:paraId="5B3BF7D7">
            <w:pPr>
              <w:jc w:val="center"/>
              <w:rPr>
                <w:rFonts w:hint="eastAsia" w:ascii="宋体" w:hAnsi="宋体" w:eastAsia="宋体" w:cs="宋体"/>
                <w:color w:val="auto"/>
                <w:sz w:val="24"/>
                <w:highlight w:val="none"/>
              </w:rPr>
            </w:pPr>
          </w:p>
        </w:tc>
        <w:tc>
          <w:tcPr>
            <w:tcW w:w="1648" w:type="pct"/>
            <w:vAlign w:val="center"/>
          </w:tcPr>
          <w:p w14:paraId="0A70A09C">
            <w:pPr>
              <w:jc w:val="center"/>
              <w:rPr>
                <w:rFonts w:hint="eastAsia" w:ascii="宋体" w:hAnsi="宋体" w:eastAsia="宋体" w:cs="宋体"/>
                <w:color w:val="auto"/>
                <w:sz w:val="24"/>
                <w:highlight w:val="none"/>
              </w:rPr>
            </w:pPr>
          </w:p>
        </w:tc>
        <w:tc>
          <w:tcPr>
            <w:tcW w:w="502" w:type="pct"/>
            <w:vAlign w:val="center"/>
          </w:tcPr>
          <w:p w14:paraId="33CBE048">
            <w:pPr>
              <w:jc w:val="center"/>
              <w:rPr>
                <w:rFonts w:hint="eastAsia" w:ascii="宋体" w:hAnsi="宋体" w:eastAsia="宋体" w:cs="宋体"/>
                <w:color w:val="auto"/>
                <w:sz w:val="24"/>
                <w:highlight w:val="none"/>
              </w:rPr>
            </w:pPr>
          </w:p>
        </w:tc>
      </w:tr>
    </w:tbl>
    <w:p w14:paraId="2E2D44DE">
      <w:pPr>
        <w:spacing w:line="360" w:lineRule="auto"/>
        <w:ind w:firstLine="4800" w:firstLineChars="2000"/>
        <w:rPr>
          <w:rFonts w:hint="eastAsia" w:ascii="宋体" w:hAnsi="宋体" w:eastAsia="宋体" w:cs="宋体"/>
          <w:color w:val="auto"/>
          <w:sz w:val="24"/>
          <w:highlight w:val="none"/>
        </w:rPr>
      </w:pPr>
    </w:p>
    <w:p w14:paraId="272506DE">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lang w:val="en-US" w:eastAsia="zh-CN"/>
        </w:rPr>
        <w:t>盖章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033C313F">
      <w:pPr>
        <w:tabs>
          <w:tab w:val="left" w:pos="630"/>
        </w:tabs>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429205F">
      <w:pPr>
        <w:adjustRightInd w:val="0"/>
        <w:snapToGrid w:val="0"/>
        <w:spacing w:line="360" w:lineRule="auto"/>
        <w:rPr>
          <w:rFonts w:hint="eastAsia" w:ascii="宋体" w:hAnsi="宋体" w:eastAsia="宋体" w:cs="宋体"/>
          <w:b/>
          <w:bCs/>
          <w:color w:val="auto"/>
          <w:sz w:val="24"/>
          <w:szCs w:val="28"/>
          <w:highlight w:val="none"/>
        </w:rPr>
      </w:pPr>
    </w:p>
    <w:p w14:paraId="7D318609">
      <w:pPr>
        <w:adjustRightInd w:val="0"/>
        <w:snapToGrid w:val="0"/>
        <w:spacing w:line="360" w:lineRule="auto"/>
        <w:rPr>
          <w:rFonts w:hint="eastAsia" w:ascii="宋体" w:hAnsi="宋体" w:eastAsia="宋体" w:cs="宋体"/>
          <w:color w:val="auto"/>
          <w:sz w:val="24"/>
          <w:highlight w:val="none"/>
          <w:u w:val="single"/>
        </w:rPr>
      </w:pPr>
      <w:r>
        <w:rPr>
          <w:rFonts w:hint="eastAsia" w:ascii="宋体" w:hAnsi="宋体" w:eastAsia="宋体" w:cs="宋体"/>
          <w:b/>
          <w:bCs/>
          <w:color w:val="auto"/>
          <w:sz w:val="24"/>
          <w:szCs w:val="28"/>
          <w:highlight w:val="none"/>
        </w:rPr>
        <w:t>备注：</w:t>
      </w:r>
      <w:r>
        <w:rPr>
          <w:rFonts w:hint="eastAsia" w:ascii="宋体" w:hAnsi="宋体" w:eastAsia="宋体" w:cs="宋体"/>
          <w:color w:val="auto"/>
          <w:sz w:val="24"/>
          <w:szCs w:val="28"/>
          <w:highlight w:val="none"/>
        </w:rPr>
        <w:t>技术响应（</w:t>
      </w:r>
      <w:r>
        <w:rPr>
          <w:rFonts w:hint="eastAsia" w:ascii="宋体" w:hAnsi="宋体" w:cs="宋体"/>
          <w:color w:val="auto"/>
          <w:sz w:val="24"/>
          <w:szCs w:val="28"/>
          <w:highlight w:val="none"/>
          <w:lang w:val="en-US" w:eastAsia="zh-CN"/>
        </w:rPr>
        <w:t>发包文件</w:t>
      </w:r>
      <w:r>
        <w:rPr>
          <w:rFonts w:hint="eastAsia" w:ascii="宋体" w:hAnsi="宋体" w:eastAsia="宋体" w:cs="宋体"/>
          <w:color w:val="auto"/>
          <w:sz w:val="24"/>
          <w:szCs w:val="28"/>
          <w:highlight w:val="none"/>
        </w:rPr>
        <w:t>要求的</w:t>
      </w:r>
      <w:r>
        <w:rPr>
          <w:rFonts w:hint="eastAsia" w:ascii="宋体" w:hAnsi="宋体" w:eastAsia="宋体" w:cs="宋体"/>
          <w:bCs/>
          <w:color w:val="auto"/>
          <w:sz w:val="24"/>
          <w:szCs w:val="28"/>
          <w:highlight w:val="none"/>
        </w:rPr>
        <w:t>所有实质性响应技术条款</w:t>
      </w:r>
      <w:r>
        <w:rPr>
          <w:rFonts w:hint="eastAsia" w:ascii="宋体" w:hAnsi="宋体" w:eastAsia="宋体" w:cs="宋体"/>
          <w:color w:val="auto"/>
          <w:sz w:val="24"/>
          <w:szCs w:val="28"/>
          <w:highlight w:val="none"/>
        </w:rPr>
        <w:t>无重大偏离）、</w:t>
      </w:r>
      <w:r>
        <w:rPr>
          <w:rFonts w:hint="eastAsia" w:ascii="宋体" w:hAnsi="宋体" w:eastAsia="宋体" w:cs="宋体"/>
          <w:color w:val="auto"/>
          <w:sz w:val="24"/>
          <w:szCs w:val="28"/>
          <w:highlight w:val="none"/>
          <w:lang w:val="en-US" w:eastAsia="zh-CN"/>
        </w:rPr>
        <w:t>服务期</w:t>
      </w:r>
      <w:r>
        <w:rPr>
          <w:rFonts w:hint="eastAsia" w:ascii="宋体" w:hAnsi="宋体" w:eastAsia="宋体" w:cs="宋体"/>
          <w:color w:val="auto"/>
          <w:sz w:val="24"/>
          <w:szCs w:val="28"/>
          <w:highlight w:val="none"/>
        </w:rPr>
        <w:t>响应及付款响应等须与</w:t>
      </w:r>
      <w:r>
        <w:rPr>
          <w:rFonts w:hint="eastAsia" w:ascii="宋体" w:hAnsi="宋体" w:cs="宋体"/>
          <w:color w:val="auto"/>
          <w:sz w:val="24"/>
          <w:szCs w:val="28"/>
          <w:highlight w:val="none"/>
          <w:lang w:val="en-US" w:eastAsia="zh-CN"/>
        </w:rPr>
        <w:t>发包文件</w:t>
      </w:r>
      <w:r>
        <w:rPr>
          <w:rFonts w:hint="eastAsia" w:ascii="宋体" w:hAnsi="宋体" w:eastAsia="宋体" w:cs="宋体"/>
          <w:color w:val="auto"/>
          <w:sz w:val="24"/>
          <w:szCs w:val="28"/>
          <w:highlight w:val="none"/>
        </w:rPr>
        <w:t>要求无重大偏离，否则可能导致</w:t>
      </w:r>
      <w:r>
        <w:rPr>
          <w:rFonts w:hint="eastAsia" w:ascii="宋体" w:hAnsi="宋体" w:eastAsia="宋体" w:cs="宋体"/>
          <w:color w:val="auto"/>
          <w:sz w:val="24"/>
          <w:szCs w:val="28"/>
          <w:highlight w:val="none"/>
          <w:lang w:val="en-US" w:eastAsia="zh-CN"/>
        </w:rPr>
        <w:t>响应</w:t>
      </w:r>
      <w:r>
        <w:rPr>
          <w:rFonts w:hint="eastAsia" w:ascii="宋体" w:hAnsi="宋体" w:eastAsia="宋体" w:cs="宋体"/>
          <w:color w:val="auto"/>
          <w:sz w:val="24"/>
          <w:szCs w:val="28"/>
          <w:highlight w:val="none"/>
        </w:rPr>
        <w:t>无效。</w:t>
      </w:r>
    </w:p>
    <w:p w14:paraId="1426889F">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br w:type="page"/>
      </w:r>
      <w:r>
        <w:rPr>
          <w:rFonts w:hint="eastAsia" w:ascii="宋体" w:hAnsi="宋体" w:eastAsia="宋体" w:cs="宋体"/>
          <w:b/>
          <w:color w:val="auto"/>
          <w:sz w:val="24"/>
          <w:highlight w:val="none"/>
          <w:lang w:val="en-US" w:eastAsia="zh-CN"/>
        </w:rPr>
        <w:t>十、其他技术响应证明材料</w:t>
      </w:r>
    </w:p>
    <w:p w14:paraId="49C21B4A">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如有，</w:t>
      </w:r>
      <w:r>
        <w:rPr>
          <w:rFonts w:hint="eastAsia" w:ascii="宋体" w:hAnsi="宋体" w:eastAsia="宋体" w:cs="宋体"/>
          <w:color w:val="auto"/>
          <w:sz w:val="24"/>
          <w:highlight w:val="none"/>
        </w:rPr>
        <w:t>提供符合</w:t>
      </w:r>
      <w:r>
        <w:rPr>
          <w:rFonts w:hint="eastAsia" w:ascii="宋体" w:hAnsi="宋体" w:cs="宋体"/>
          <w:color w:val="auto"/>
          <w:sz w:val="24"/>
          <w:highlight w:val="none"/>
          <w:lang w:val="en-US" w:eastAsia="zh-CN"/>
        </w:rPr>
        <w:t>发包文件</w:t>
      </w:r>
      <w:r>
        <w:rPr>
          <w:rFonts w:hint="eastAsia" w:ascii="宋体" w:hAnsi="宋体" w:eastAsia="宋体" w:cs="宋体"/>
          <w:color w:val="auto"/>
          <w:sz w:val="24"/>
          <w:highlight w:val="none"/>
          <w:lang w:val="en-US" w:eastAsia="zh-CN"/>
        </w:rPr>
        <w:t>要求的其他技术响应</w:t>
      </w:r>
      <w:r>
        <w:rPr>
          <w:rFonts w:hint="eastAsia" w:ascii="宋体" w:hAnsi="宋体" w:eastAsia="宋体" w:cs="宋体"/>
          <w:color w:val="auto"/>
          <w:sz w:val="24"/>
          <w:highlight w:val="none"/>
        </w:rPr>
        <w:t>证明</w:t>
      </w:r>
      <w:r>
        <w:rPr>
          <w:rFonts w:hint="eastAsia" w:ascii="宋体" w:hAnsi="宋体" w:eastAsia="宋体" w:cs="宋体"/>
          <w:color w:val="auto"/>
          <w:sz w:val="24"/>
          <w:highlight w:val="none"/>
          <w:lang w:val="en-US" w:eastAsia="zh-CN"/>
        </w:rPr>
        <w:t>材料</w:t>
      </w:r>
      <w:r>
        <w:rPr>
          <w:rFonts w:hint="eastAsia" w:ascii="宋体" w:hAnsi="宋体" w:eastAsia="宋体" w:cs="宋体"/>
          <w:color w:val="auto"/>
          <w:sz w:val="24"/>
          <w:highlight w:val="none"/>
          <w:lang w:eastAsia="zh-CN"/>
        </w:rPr>
        <w:t>）</w:t>
      </w:r>
    </w:p>
    <w:p w14:paraId="5734A17E">
      <w:pPr>
        <w:rPr>
          <w:rFonts w:hint="eastAsia" w:ascii="宋体" w:hAnsi="宋体" w:eastAsia="宋体" w:cs="宋体"/>
          <w:b/>
          <w:color w:val="auto"/>
          <w:sz w:val="24"/>
          <w:highlight w:val="none"/>
        </w:rPr>
      </w:pPr>
    </w:p>
    <w:p w14:paraId="07D72E48">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p>
    <w:bookmarkEnd w:id="92"/>
    <w:bookmarkEnd w:id="93"/>
    <w:p w14:paraId="40D622E1">
      <w:pPr>
        <w:numPr>
          <w:ilvl w:val="0"/>
          <w:numId w:val="0"/>
        </w:num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kern w:val="2"/>
          <w:sz w:val="24"/>
          <w:lang w:val="en-US" w:eastAsia="zh-CN" w:bidi="ar-SA"/>
        </w:rPr>
        <w:t>十一、</w:t>
      </w:r>
      <w:r>
        <w:rPr>
          <w:rFonts w:hint="eastAsia" w:ascii="宋体" w:hAnsi="宋体" w:eastAsia="宋体" w:cs="宋体"/>
          <w:b/>
          <w:color w:val="auto"/>
          <w:sz w:val="24"/>
          <w:highlight w:val="none"/>
          <w:lang w:val="en-US" w:eastAsia="zh-CN"/>
        </w:rPr>
        <w:t>报价表</w:t>
      </w:r>
    </w:p>
    <w:p w14:paraId="4A751410">
      <w:pPr>
        <w:numPr>
          <w:ilvl w:val="0"/>
          <w:numId w:val="0"/>
        </w:numPr>
        <w:spacing w:line="360" w:lineRule="auto"/>
        <w:jc w:val="both"/>
        <w:outlineLvl w:val="1"/>
        <w:rPr>
          <w:rFonts w:hint="eastAsia" w:ascii="宋体" w:hAnsi="宋体" w:eastAsia="宋体" w:cs="宋体"/>
          <w:b/>
          <w:color w:val="auto"/>
          <w:sz w:val="24"/>
          <w:highlight w:val="none"/>
          <w:lang w:val="en-US" w:eastAsia="zh-CN"/>
        </w:rPr>
      </w:pP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4400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A69981F">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供应商名称</w:t>
            </w:r>
          </w:p>
        </w:tc>
        <w:tc>
          <w:tcPr>
            <w:tcW w:w="3557" w:type="pct"/>
            <w:tcBorders>
              <w:left w:val="single" w:color="auto" w:sz="4" w:space="0"/>
            </w:tcBorders>
            <w:vAlign w:val="center"/>
          </w:tcPr>
          <w:p w14:paraId="7D5A6520">
            <w:pPr>
              <w:spacing w:line="360" w:lineRule="auto"/>
              <w:rPr>
                <w:rFonts w:hint="eastAsia" w:ascii="宋体" w:hAnsi="宋体" w:eastAsia="宋体" w:cs="宋体"/>
                <w:b/>
                <w:color w:val="auto"/>
                <w:sz w:val="24"/>
                <w:highlight w:val="none"/>
              </w:rPr>
            </w:pPr>
          </w:p>
        </w:tc>
      </w:tr>
      <w:tr w14:paraId="32DF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5E3C679">
            <w:pPr>
              <w:spacing w:line="360" w:lineRule="exact"/>
              <w:jc w:val="center"/>
              <w:rPr>
                <w:rFonts w:hint="eastAsia" w:ascii="宋体" w:hAnsi="宋体" w:eastAsia="宋体" w:cs="宋体"/>
                <w:b/>
                <w:color w:val="auto"/>
                <w:sz w:val="24"/>
                <w:highlight w:val="none"/>
              </w:rPr>
            </w:pPr>
            <w:r>
              <w:rPr>
                <w:rFonts w:hint="eastAsia" w:ascii="宋体" w:hAnsi="宋体" w:cs="宋体"/>
                <w:b/>
                <w:color w:val="auto"/>
                <w:sz w:val="24"/>
                <w:highlight w:val="none"/>
                <w:lang w:val="en-US" w:eastAsia="zh-CN"/>
              </w:rPr>
              <w:t>发包</w:t>
            </w:r>
            <w:r>
              <w:rPr>
                <w:rFonts w:hint="eastAsia" w:ascii="宋体" w:hAnsi="宋体" w:eastAsia="宋体" w:cs="宋体"/>
                <w:b/>
                <w:color w:val="auto"/>
                <w:sz w:val="24"/>
                <w:highlight w:val="none"/>
              </w:rPr>
              <w:t>范围</w:t>
            </w:r>
          </w:p>
        </w:tc>
        <w:tc>
          <w:tcPr>
            <w:tcW w:w="3557" w:type="pct"/>
            <w:tcBorders>
              <w:left w:val="single" w:color="auto" w:sz="4" w:space="0"/>
            </w:tcBorders>
            <w:vAlign w:val="center"/>
          </w:tcPr>
          <w:p w14:paraId="06BAA4E6">
            <w:pPr>
              <w:widowControl/>
              <w:spacing w:line="360" w:lineRule="exact"/>
              <w:rPr>
                <w:rFonts w:hint="eastAsia" w:ascii="宋体" w:hAnsi="宋体" w:eastAsia="宋体" w:cs="宋体"/>
                <w:b/>
                <w:color w:val="auto"/>
                <w:sz w:val="24"/>
                <w:highlight w:val="none"/>
              </w:rPr>
            </w:pPr>
            <w:r>
              <w:rPr>
                <w:rFonts w:hint="eastAsia" w:ascii="宋体" w:hAnsi="宋体" w:eastAsia="宋体" w:cs="宋体"/>
                <w:color w:val="auto"/>
                <w:sz w:val="24"/>
                <w:szCs w:val="28"/>
                <w:highlight w:val="none"/>
              </w:rPr>
              <w:t>全部 / 第</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包</w:t>
            </w:r>
          </w:p>
        </w:tc>
      </w:tr>
      <w:tr w14:paraId="22047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0722B659">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报价</w:t>
            </w:r>
          </w:p>
          <w:p w14:paraId="37CF1496">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（详见备注说明）</w:t>
            </w:r>
          </w:p>
        </w:tc>
        <w:tc>
          <w:tcPr>
            <w:tcW w:w="3557" w:type="pct"/>
            <w:vAlign w:val="center"/>
          </w:tcPr>
          <w:p w14:paraId="50050371">
            <w:pPr>
              <w:snapToGrid w:val="0"/>
              <w:spacing w:line="360" w:lineRule="auto"/>
              <w:rPr>
                <w:rFonts w:hint="eastAsia" w:ascii="宋体" w:hAnsi="宋体" w:eastAsia="宋体" w:cs="宋体"/>
                <w:color w:val="auto"/>
                <w:sz w:val="24"/>
                <w:szCs w:val="28"/>
                <w:highlight w:val="none"/>
              </w:rPr>
            </w:pPr>
          </w:p>
          <w:p w14:paraId="54A01CFD">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53DB206">
            <w:pPr>
              <w:spacing w:line="360" w:lineRule="auto"/>
              <w:ind w:right="-670"/>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6C9C94FB">
            <w:pPr>
              <w:snapToGrid w:val="0"/>
              <w:spacing w:line="360" w:lineRule="auto"/>
              <w:rPr>
                <w:rFonts w:hint="eastAsia" w:ascii="宋体" w:hAnsi="宋体" w:eastAsia="宋体" w:cs="宋体"/>
                <w:b/>
                <w:color w:val="auto"/>
                <w:sz w:val="24"/>
                <w:highlight w:val="none"/>
              </w:rPr>
            </w:pPr>
          </w:p>
        </w:tc>
      </w:tr>
      <w:tr w14:paraId="32BB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76857D15">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备注说明</w:t>
            </w:r>
          </w:p>
        </w:tc>
        <w:tc>
          <w:tcPr>
            <w:tcW w:w="3557" w:type="pct"/>
            <w:vAlign w:val="center"/>
          </w:tcPr>
          <w:p w14:paraId="3E55E8BF">
            <w:pPr>
              <w:spacing w:line="360" w:lineRule="auto"/>
              <w:rPr>
                <w:rFonts w:hint="eastAsia" w:ascii="宋体" w:hAnsi="宋体" w:eastAsia="宋体" w:cs="宋体"/>
                <w:b/>
                <w:color w:val="auto"/>
                <w:sz w:val="24"/>
                <w:highlight w:val="none"/>
              </w:rPr>
            </w:pPr>
          </w:p>
        </w:tc>
      </w:tr>
    </w:tbl>
    <w:p w14:paraId="4C6E6231">
      <w:pPr>
        <w:spacing w:line="360" w:lineRule="auto"/>
        <w:ind w:firstLine="4800" w:firstLineChars="2000"/>
        <w:rPr>
          <w:rFonts w:hint="eastAsia" w:ascii="宋体" w:hAnsi="宋体" w:eastAsia="宋体" w:cs="宋体"/>
          <w:color w:val="auto"/>
          <w:sz w:val="24"/>
          <w:highlight w:val="none"/>
        </w:rPr>
      </w:pPr>
    </w:p>
    <w:p w14:paraId="300C9465">
      <w:pPr>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lang w:val="en-US" w:eastAsia="zh-CN"/>
        </w:rPr>
        <w:t>盖章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628FC038">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5C36281D">
      <w:pPr>
        <w:adjustRightInd w:val="0"/>
        <w:snapToGrid w:val="0"/>
        <w:spacing w:line="360" w:lineRule="auto"/>
        <w:rPr>
          <w:rFonts w:hint="eastAsia" w:ascii="宋体" w:hAnsi="宋体" w:eastAsia="宋体" w:cs="宋体"/>
          <w:b/>
          <w:bCs/>
          <w:color w:val="auto"/>
          <w:sz w:val="24"/>
          <w:szCs w:val="28"/>
          <w:highlight w:val="none"/>
        </w:rPr>
      </w:pPr>
    </w:p>
    <w:p w14:paraId="0052ABD3">
      <w:pPr>
        <w:adjustRightInd w:val="0"/>
        <w:snapToGrid w:val="0"/>
        <w:spacing w:line="360" w:lineRule="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注：</w:t>
      </w:r>
    </w:p>
    <w:p w14:paraId="3952557B">
      <w:pPr>
        <w:adjustRightInd w:val="0"/>
        <w:snapToGrid w:val="0"/>
        <w:spacing w:line="360"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szCs w:val="28"/>
          <w:highlight w:val="none"/>
        </w:rPr>
        <w:t>1.本表内容根据</w:t>
      </w:r>
      <w:r>
        <w:rPr>
          <w:rFonts w:hint="eastAsia" w:ascii="宋体" w:hAnsi="宋体" w:cs="宋体"/>
          <w:b w:val="0"/>
          <w:bCs w:val="0"/>
          <w:color w:val="auto"/>
          <w:sz w:val="24"/>
          <w:szCs w:val="28"/>
          <w:highlight w:val="none"/>
          <w:lang w:eastAsia="zh-CN"/>
        </w:rPr>
        <w:t>发包文件</w:t>
      </w:r>
      <w:r>
        <w:rPr>
          <w:rFonts w:hint="eastAsia" w:ascii="宋体" w:hAnsi="宋体" w:eastAsia="宋体" w:cs="宋体"/>
          <w:b w:val="0"/>
          <w:bCs w:val="0"/>
          <w:color w:val="auto"/>
          <w:sz w:val="24"/>
          <w:szCs w:val="28"/>
          <w:highlight w:val="none"/>
        </w:rPr>
        <w:t>要求包括了服务及其配套的设计、采购、制造、试验、运输、保险、仓储、税费以及现场落地、安装及安装耗损、调试、培训、技术服务（包括技术资料、图纸的提供）质保期内的售后服务保障等所有费用。</w:t>
      </w:r>
    </w:p>
    <w:p w14:paraId="335E89CE">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2.特殊事项在备注中注明。</w:t>
      </w:r>
    </w:p>
    <w:p w14:paraId="486F0EE8">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3.表中大写金额与小写金额不一致的，以大写金额为准。</w:t>
      </w:r>
    </w:p>
    <w:p w14:paraId="7567111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4E911229">
      <w:pPr>
        <w:spacing w:before="120" w:beforeLines="50" w:after="120" w:afterLines="50" w:line="360" w:lineRule="auto"/>
        <w:jc w:val="center"/>
        <w:outlineLvl w:val="2"/>
        <w:rPr>
          <w:rFonts w:hint="eastAsia" w:ascii="宋体" w:hAnsi="宋体" w:eastAsia="宋体" w:cs="宋体"/>
          <w:b/>
          <w:color w:val="auto"/>
          <w:sz w:val="24"/>
          <w:szCs w:val="28"/>
          <w:highlight w:val="none"/>
        </w:rPr>
      </w:pPr>
      <w:bookmarkStart w:id="109" w:name="_Toc31027"/>
      <w:bookmarkStart w:id="110" w:name="_Toc32226"/>
      <w:r>
        <w:rPr>
          <w:rFonts w:hint="eastAsia" w:ascii="宋体" w:hAnsi="宋体" w:eastAsia="宋体" w:cs="宋体"/>
          <w:b/>
          <w:color w:val="auto"/>
          <w:sz w:val="24"/>
          <w:highlight w:val="none"/>
          <w:lang w:val="en-US" w:eastAsia="zh-CN"/>
        </w:rPr>
        <w:t>十二</w:t>
      </w:r>
      <w:r>
        <w:rPr>
          <w:rFonts w:hint="eastAsia" w:ascii="宋体" w:hAnsi="宋体" w:eastAsia="宋体" w:cs="宋体"/>
          <w:b/>
          <w:color w:val="auto"/>
          <w:sz w:val="24"/>
          <w:highlight w:val="none"/>
        </w:rPr>
        <w:t>、</w:t>
      </w:r>
      <w:bookmarkEnd w:id="109"/>
      <w:bookmarkEnd w:id="110"/>
      <w:r>
        <w:rPr>
          <w:rFonts w:hint="eastAsia" w:ascii="宋体" w:hAnsi="宋体" w:eastAsia="宋体" w:cs="宋体"/>
          <w:b/>
          <w:color w:val="auto"/>
          <w:sz w:val="24"/>
          <w:szCs w:val="28"/>
          <w:highlight w:val="none"/>
        </w:rPr>
        <w:t>分项报价明细表</w:t>
      </w:r>
    </w:p>
    <w:tbl>
      <w:tblPr>
        <w:tblStyle w:val="24"/>
        <w:tblW w:w="51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2378"/>
        <w:gridCol w:w="1529"/>
        <w:gridCol w:w="1403"/>
        <w:gridCol w:w="2591"/>
      </w:tblGrid>
      <w:tr w14:paraId="507F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shd w:val="clear" w:color="auto" w:fill="auto"/>
            <w:vAlign w:val="center"/>
          </w:tcPr>
          <w:p w14:paraId="686101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序号</w:t>
            </w:r>
          </w:p>
        </w:tc>
        <w:tc>
          <w:tcPr>
            <w:tcW w:w="1351" w:type="pct"/>
            <w:shd w:val="clear" w:color="auto" w:fill="auto"/>
            <w:vAlign w:val="center"/>
          </w:tcPr>
          <w:p w14:paraId="3CA8D3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lang w:val="en-US" w:eastAsia="zh-CN"/>
              </w:rPr>
              <w:t>服务内容</w:t>
            </w:r>
          </w:p>
        </w:tc>
        <w:tc>
          <w:tcPr>
            <w:tcW w:w="869" w:type="pct"/>
            <w:shd w:val="clear" w:color="auto" w:fill="auto"/>
            <w:vAlign w:val="center"/>
          </w:tcPr>
          <w:p w14:paraId="73F035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项</w:t>
            </w:r>
          </w:p>
        </w:tc>
        <w:tc>
          <w:tcPr>
            <w:tcW w:w="797" w:type="pct"/>
            <w:shd w:val="clear" w:color="auto" w:fill="auto"/>
            <w:vAlign w:val="center"/>
          </w:tcPr>
          <w:p w14:paraId="158FDC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单价</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元</w:t>
            </w:r>
            <w:r>
              <w:rPr>
                <w:rFonts w:hint="eastAsia" w:ascii="宋体" w:hAnsi="宋体" w:eastAsia="宋体" w:cs="宋体"/>
                <w:b/>
                <w:color w:val="auto"/>
                <w:sz w:val="24"/>
                <w:highlight w:val="none"/>
                <w:lang w:eastAsia="zh-CN"/>
              </w:rPr>
              <w:t>）</w:t>
            </w:r>
          </w:p>
        </w:tc>
        <w:tc>
          <w:tcPr>
            <w:tcW w:w="1472" w:type="pct"/>
            <w:shd w:val="clear" w:color="auto" w:fill="auto"/>
            <w:vAlign w:val="center"/>
          </w:tcPr>
          <w:p w14:paraId="2A97ED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小计（元）</w:t>
            </w:r>
          </w:p>
        </w:tc>
      </w:tr>
      <w:tr w14:paraId="122C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02A84637">
            <w:pPr>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1351" w:type="pct"/>
            <w:vAlign w:val="center"/>
          </w:tcPr>
          <w:p w14:paraId="6940C226">
            <w:pPr>
              <w:spacing w:line="360" w:lineRule="auto"/>
              <w:rPr>
                <w:rFonts w:hint="eastAsia" w:ascii="宋体" w:hAnsi="宋体" w:eastAsia="宋体" w:cs="宋体"/>
                <w:color w:val="auto"/>
                <w:sz w:val="24"/>
                <w:highlight w:val="none"/>
              </w:rPr>
            </w:pPr>
          </w:p>
        </w:tc>
        <w:tc>
          <w:tcPr>
            <w:tcW w:w="869" w:type="pct"/>
            <w:vAlign w:val="center"/>
          </w:tcPr>
          <w:p w14:paraId="6C11F57B">
            <w:pPr>
              <w:spacing w:line="360" w:lineRule="auto"/>
              <w:rPr>
                <w:rFonts w:hint="eastAsia" w:ascii="宋体" w:hAnsi="宋体" w:eastAsia="宋体" w:cs="宋体"/>
                <w:color w:val="auto"/>
                <w:sz w:val="24"/>
                <w:highlight w:val="none"/>
              </w:rPr>
            </w:pPr>
          </w:p>
        </w:tc>
        <w:tc>
          <w:tcPr>
            <w:tcW w:w="797" w:type="pct"/>
            <w:vAlign w:val="center"/>
          </w:tcPr>
          <w:p w14:paraId="75FF5D4D">
            <w:pPr>
              <w:spacing w:line="360" w:lineRule="auto"/>
              <w:rPr>
                <w:rFonts w:hint="eastAsia" w:ascii="宋体" w:hAnsi="宋体" w:eastAsia="宋体" w:cs="宋体"/>
                <w:color w:val="auto"/>
                <w:sz w:val="24"/>
                <w:highlight w:val="none"/>
              </w:rPr>
            </w:pPr>
          </w:p>
        </w:tc>
        <w:tc>
          <w:tcPr>
            <w:tcW w:w="1472" w:type="pct"/>
            <w:vAlign w:val="center"/>
          </w:tcPr>
          <w:p w14:paraId="623A7069">
            <w:pPr>
              <w:spacing w:line="360" w:lineRule="auto"/>
              <w:rPr>
                <w:rFonts w:hint="eastAsia" w:ascii="宋体" w:hAnsi="宋体" w:eastAsia="宋体" w:cs="宋体"/>
                <w:color w:val="auto"/>
                <w:sz w:val="24"/>
                <w:highlight w:val="none"/>
              </w:rPr>
            </w:pPr>
          </w:p>
        </w:tc>
      </w:tr>
      <w:tr w14:paraId="1FEF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4B5A0A4F">
            <w:pPr>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1351" w:type="pct"/>
            <w:vAlign w:val="center"/>
          </w:tcPr>
          <w:p w14:paraId="352536CE">
            <w:pPr>
              <w:spacing w:line="360" w:lineRule="auto"/>
              <w:rPr>
                <w:rFonts w:hint="eastAsia" w:ascii="宋体" w:hAnsi="宋体" w:eastAsia="宋体" w:cs="宋体"/>
                <w:color w:val="auto"/>
                <w:sz w:val="24"/>
                <w:highlight w:val="none"/>
              </w:rPr>
            </w:pPr>
          </w:p>
        </w:tc>
        <w:tc>
          <w:tcPr>
            <w:tcW w:w="869" w:type="pct"/>
            <w:vAlign w:val="center"/>
          </w:tcPr>
          <w:p w14:paraId="14452198">
            <w:pPr>
              <w:spacing w:line="360" w:lineRule="auto"/>
              <w:rPr>
                <w:rFonts w:hint="eastAsia" w:ascii="宋体" w:hAnsi="宋体" w:eastAsia="宋体" w:cs="宋体"/>
                <w:color w:val="auto"/>
                <w:sz w:val="24"/>
                <w:highlight w:val="none"/>
              </w:rPr>
            </w:pPr>
          </w:p>
        </w:tc>
        <w:tc>
          <w:tcPr>
            <w:tcW w:w="797" w:type="pct"/>
            <w:vAlign w:val="center"/>
          </w:tcPr>
          <w:p w14:paraId="40BE8ED8">
            <w:pPr>
              <w:spacing w:line="360" w:lineRule="auto"/>
              <w:rPr>
                <w:rFonts w:hint="eastAsia" w:ascii="宋体" w:hAnsi="宋体" w:eastAsia="宋体" w:cs="宋体"/>
                <w:color w:val="auto"/>
                <w:sz w:val="24"/>
                <w:highlight w:val="none"/>
              </w:rPr>
            </w:pPr>
          </w:p>
        </w:tc>
        <w:tc>
          <w:tcPr>
            <w:tcW w:w="1472" w:type="pct"/>
            <w:vAlign w:val="center"/>
          </w:tcPr>
          <w:p w14:paraId="4D589150">
            <w:pPr>
              <w:spacing w:line="360" w:lineRule="auto"/>
              <w:rPr>
                <w:rFonts w:hint="eastAsia" w:ascii="宋体" w:hAnsi="宋体" w:eastAsia="宋体" w:cs="宋体"/>
                <w:color w:val="auto"/>
                <w:sz w:val="24"/>
                <w:highlight w:val="none"/>
              </w:rPr>
            </w:pPr>
          </w:p>
        </w:tc>
      </w:tr>
      <w:tr w14:paraId="12BB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02AF20EA">
            <w:pPr>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1351" w:type="pct"/>
            <w:vAlign w:val="center"/>
          </w:tcPr>
          <w:p w14:paraId="5A717192">
            <w:pPr>
              <w:spacing w:line="360" w:lineRule="auto"/>
              <w:rPr>
                <w:rFonts w:hint="eastAsia" w:ascii="宋体" w:hAnsi="宋体" w:eastAsia="宋体" w:cs="宋体"/>
                <w:color w:val="auto"/>
                <w:sz w:val="24"/>
                <w:highlight w:val="none"/>
              </w:rPr>
            </w:pPr>
          </w:p>
        </w:tc>
        <w:tc>
          <w:tcPr>
            <w:tcW w:w="869" w:type="pct"/>
            <w:vAlign w:val="center"/>
          </w:tcPr>
          <w:p w14:paraId="397B1CC0">
            <w:pPr>
              <w:spacing w:line="360" w:lineRule="auto"/>
              <w:rPr>
                <w:rFonts w:hint="eastAsia" w:ascii="宋体" w:hAnsi="宋体" w:eastAsia="宋体" w:cs="宋体"/>
                <w:color w:val="auto"/>
                <w:sz w:val="24"/>
                <w:highlight w:val="none"/>
              </w:rPr>
            </w:pPr>
          </w:p>
        </w:tc>
        <w:tc>
          <w:tcPr>
            <w:tcW w:w="797" w:type="pct"/>
            <w:vAlign w:val="center"/>
          </w:tcPr>
          <w:p w14:paraId="4606CBC4">
            <w:pPr>
              <w:spacing w:line="360" w:lineRule="auto"/>
              <w:rPr>
                <w:rFonts w:hint="eastAsia" w:ascii="宋体" w:hAnsi="宋体" w:eastAsia="宋体" w:cs="宋体"/>
                <w:color w:val="auto"/>
                <w:sz w:val="24"/>
                <w:highlight w:val="none"/>
              </w:rPr>
            </w:pPr>
          </w:p>
        </w:tc>
        <w:tc>
          <w:tcPr>
            <w:tcW w:w="1472" w:type="pct"/>
            <w:vAlign w:val="center"/>
          </w:tcPr>
          <w:p w14:paraId="2684729A">
            <w:pPr>
              <w:spacing w:line="360" w:lineRule="auto"/>
              <w:rPr>
                <w:rFonts w:hint="eastAsia" w:ascii="宋体" w:hAnsi="宋体" w:eastAsia="宋体" w:cs="宋体"/>
                <w:color w:val="auto"/>
                <w:sz w:val="24"/>
                <w:highlight w:val="none"/>
              </w:rPr>
            </w:pPr>
          </w:p>
        </w:tc>
      </w:tr>
      <w:tr w14:paraId="2E34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06FBC6CF">
            <w:pPr>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w:t>
            </w:r>
          </w:p>
        </w:tc>
        <w:tc>
          <w:tcPr>
            <w:tcW w:w="1351" w:type="pct"/>
            <w:vAlign w:val="center"/>
          </w:tcPr>
          <w:p w14:paraId="53042824">
            <w:pPr>
              <w:spacing w:line="360" w:lineRule="auto"/>
              <w:rPr>
                <w:rFonts w:hint="eastAsia" w:ascii="宋体" w:hAnsi="宋体" w:eastAsia="宋体" w:cs="宋体"/>
                <w:color w:val="auto"/>
                <w:sz w:val="24"/>
                <w:highlight w:val="none"/>
              </w:rPr>
            </w:pPr>
          </w:p>
        </w:tc>
        <w:tc>
          <w:tcPr>
            <w:tcW w:w="869" w:type="pct"/>
            <w:vAlign w:val="center"/>
          </w:tcPr>
          <w:p w14:paraId="7882D9F0">
            <w:pPr>
              <w:spacing w:line="360" w:lineRule="auto"/>
              <w:rPr>
                <w:rFonts w:hint="eastAsia" w:ascii="宋体" w:hAnsi="宋体" w:eastAsia="宋体" w:cs="宋体"/>
                <w:color w:val="auto"/>
                <w:sz w:val="24"/>
                <w:highlight w:val="none"/>
              </w:rPr>
            </w:pPr>
          </w:p>
        </w:tc>
        <w:tc>
          <w:tcPr>
            <w:tcW w:w="797" w:type="pct"/>
            <w:vAlign w:val="center"/>
          </w:tcPr>
          <w:p w14:paraId="36396914">
            <w:pPr>
              <w:spacing w:line="360" w:lineRule="auto"/>
              <w:rPr>
                <w:rFonts w:hint="eastAsia" w:ascii="宋体" w:hAnsi="宋体" w:eastAsia="宋体" w:cs="宋体"/>
                <w:color w:val="auto"/>
                <w:sz w:val="24"/>
                <w:highlight w:val="none"/>
              </w:rPr>
            </w:pPr>
          </w:p>
        </w:tc>
        <w:tc>
          <w:tcPr>
            <w:tcW w:w="1472" w:type="pct"/>
            <w:vAlign w:val="center"/>
          </w:tcPr>
          <w:p w14:paraId="1A2EAC62">
            <w:pPr>
              <w:spacing w:line="360" w:lineRule="auto"/>
              <w:rPr>
                <w:rFonts w:hint="eastAsia" w:ascii="宋体" w:hAnsi="宋体" w:eastAsia="宋体" w:cs="宋体"/>
                <w:color w:val="auto"/>
                <w:sz w:val="24"/>
                <w:highlight w:val="none"/>
              </w:rPr>
            </w:pPr>
          </w:p>
        </w:tc>
      </w:tr>
      <w:tr w14:paraId="0170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1860" w:type="pct"/>
            <w:gridSpan w:val="2"/>
            <w:shd w:val="clear" w:color="auto" w:fill="auto"/>
            <w:vAlign w:val="center"/>
          </w:tcPr>
          <w:p w14:paraId="456A812D">
            <w:pPr>
              <w:spacing w:line="360" w:lineRule="auto"/>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b/>
                <w:bCs/>
                <w:color w:val="auto"/>
                <w:sz w:val="24"/>
                <w:highlight w:val="none"/>
                <w:lang w:val="en-US" w:eastAsia="zh-CN"/>
              </w:rPr>
              <w:t>总</w:t>
            </w:r>
            <w:r>
              <w:rPr>
                <w:rFonts w:hint="eastAsia" w:ascii="宋体" w:hAnsi="宋体" w:eastAsia="宋体" w:cs="宋体"/>
                <w:b/>
                <w:bCs/>
                <w:color w:val="auto"/>
                <w:sz w:val="24"/>
                <w:highlight w:val="none"/>
              </w:rPr>
              <w:t>计（元）</w:t>
            </w:r>
          </w:p>
        </w:tc>
        <w:tc>
          <w:tcPr>
            <w:tcW w:w="3139" w:type="pct"/>
            <w:gridSpan w:val="3"/>
            <w:shd w:val="clear" w:color="auto" w:fill="auto"/>
            <w:vAlign w:val="center"/>
          </w:tcPr>
          <w:p w14:paraId="1B79956D">
            <w:pPr>
              <w:spacing w:line="360" w:lineRule="auto"/>
              <w:rPr>
                <w:rFonts w:hint="eastAsia" w:ascii="宋体" w:hAnsi="宋体" w:eastAsia="宋体" w:cs="宋体"/>
                <w:color w:val="auto"/>
                <w:kern w:val="2"/>
                <w:sz w:val="24"/>
                <w:highlight w:val="none"/>
                <w:lang w:val="en-US" w:eastAsia="zh-CN" w:bidi="ar-SA"/>
              </w:rPr>
            </w:pPr>
          </w:p>
        </w:tc>
      </w:tr>
    </w:tbl>
    <w:p w14:paraId="2373F86D">
      <w:pPr>
        <w:pStyle w:val="53"/>
        <w:jc w:val="both"/>
        <w:rPr>
          <w:rFonts w:hint="eastAsia" w:ascii="宋体" w:hAnsi="宋体" w:eastAsia="宋体" w:cs="宋体"/>
          <w:b/>
          <w:bCs/>
          <w:color w:val="auto"/>
          <w:highlight w:val="none"/>
          <w:lang w:val="en-US" w:eastAsia="zh-CN"/>
        </w:rPr>
      </w:pPr>
    </w:p>
    <w:p w14:paraId="67DBDEC9">
      <w:pPr>
        <w:pStyle w:val="53"/>
        <w:jc w:val="both"/>
        <w:rPr>
          <w:rFonts w:hint="eastAsia" w:ascii="宋体" w:hAnsi="宋体" w:eastAsia="宋体" w:cs="宋体"/>
          <w:b/>
          <w:bCs/>
          <w:color w:val="auto"/>
          <w:highlight w:val="none"/>
          <w:lang w:val="en-US" w:eastAsia="zh-CN"/>
        </w:rPr>
      </w:pPr>
    </w:p>
    <w:p w14:paraId="5DB046B4">
      <w:pPr>
        <w:spacing w:line="360" w:lineRule="auto"/>
        <w:ind w:firstLine="4800" w:firstLineChars="2000"/>
        <w:rPr>
          <w:rFonts w:hint="eastAsia" w:ascii="宋体" w:hAnsi="宋体" w:eastAsia="宋体" w:cs="宋体"/>
          <w:color w:val="auto"/>
          <w:sz w:val="24"/>
          <w:highlight w:val="none"/>
        </w:rPr>
      </w:pPr>
    </w:p>
    <w:p w14:paraId="1A0C6203">
      <w:pPr>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lang w:val="en-US" w:eastAsia="zh-CN"/>
        </w:rPr>
        <w:t>盖章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4E6D23D0">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6E309B33">
      <w:pPr>
        <w:adjustRightInd w:val="0"/>
        <w:snapToGrid w:val="0"/>
        <w:spacing w:line="360" w:lineRule="auto"/>
        <w:rPr>
          <w:rFonts w:hint="eastAsia" w:ascii="宋体" w:hAnsi="宋体" w:eastAsia="宋体" w:cs="宋体"/>
          <w:b/>
          <w:bCs/>
          <w:color w:val="auto"/>
          <w:sz w:val="24"/>
          <w:szCs w:val="28"/>
          <w:highlight w:val="none"/>
        </w:rPr>
      </w:pPr>
    </w:p>
    <w:p w14:paraId="2B48DA3F">
      <w:pPr>
        <w:adjustRightInd w:val="0"/>
        <w:snapToGrid w:val="0"/>
        <w:spacing w:line="360" w:lineRule="auto"/>
        <w:rPr>
          <w:rFonts w:hint="eastAsia" w:ascii="宋体" w:hAnsi="宋体" w:eastAsia="宋体" w:cs="宋体"/>
          <w:b w:val="0"/>
          <w:bCs w:val="0"/>
          <w:color w:val="auto"/>
          <w:sz w:val="24"/>
          <w:szCs w:val="28"/>
          <w:highlight w:val="none"/>
        </w:rPr>
      </w:pPr>
      <w:r>
        <w:rPr>
          <w:rFonts w:hint="eastAsia" w:ascii="宋体" w:hAnsi="宋体" w:eastAsia="宋体" w:cs="宋体"/>
          <w:b/>
          <w:bCs/>
          <w:color w:val="auto"/>
          <w:sz w:val="24"/>
          <w:szCs w:val="28"/>
          <w:highlight w:val="none"/>
        </w:rPr>
        <w:t>注：</w:t>
      </w:r>
      <w:r>
        <w:rPr>
          <w:rFonts w:hint="eastAsia" w:ascii="宋体" w:hAnsi="宋体" w:eastAsia="宋体" w:cs="宋体"/>
          <w:b w:val="0"/>
          <w:bCs w:val="0"/>
          <w:color w:val="auto"/>
          <w:sz w:val="24"/>
          <w:szCs w:val="28"/>
          <w:highlight w:val="none"/>
        </w:rPr>
        <w:t>表中所列服务为对应本项目需求的全部服务内容。如有漏项或缺项，供应商承担全部责任。</w:t>
      </w:r>
    </w:p>
    <w:p w14:paraId="09D1171B">
      <w:pPr>
        <w:spacing w:line="360" w:lineRule="auto"/>
        <w:jc w:val="center"/>
        <w:outlineLvl w:val="1"/>
        <w:rPr>
          <w:rFonts w:hint="eastAsia" w:ascii="宋体" w:hAnsi="宋体" w:eastAsia="宋体" w:cs="宋体"/>
          <w:b/>
          <w:color w:val="auto"/>
          <w:sz w:val="24"/>
          <w:highlight w:val="none"/>
          <w:lang w:val="en-US" w:eastAsia="zh-CN"/>
        </w:rPr>
      </w:pPr>
    </w:p>
    <w:p w14:paraId="6339ECAD">
      <w:pP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p>
    <w:p w14:paraId="594DC3F1">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十三、其他报价响应证明材料</w:t>
      </w:r>
    </w:p>
    <w:p w14:paraId="0AFE3F02">
      <w:pPr>
        <w:spacing w:line="360" w:lineRule="auto"/>
        <w:jc w:val="center"/>
        <w:rPr>
          <w:rFonts w:hint="eastAsia" w:ascii="宋体" w:hAnsi="宋体" w:eastAsia="宋体" w:cs="宋体"/>
          <w:b/>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如有，</w:t>
      </w:r>
      <w:r>
        <w:rPr>
          <w:rFonts w:hint="eastAsia" w:ascii="宋体" w:hAnsi="宋体" w:eastAsia="宋体" w:cs="宋体"/>
          <w:color w:val="auto"/>
          <w:sz w:val="24"/>
          <w:highlight w:val="none"/>
        </w:rPr>
        <w:t>提供符合</w:t>
      </w:r>
      <w:r>
        <w:rPr>
          <w:rFonts w:hint="eastAsia" w:ascii="宋体" w:hAnsi="宋体" w:cs="宋体"/>
          <w:color w:val="auto"/>
          <w:sz w:val="24"/>
          <w:highlight w:val="none"/>
          <w:lang w:val="en-US" w:eastAsia="zh-CN"/>
        </w:rPr>
        <w:t>发包文件</w:t>
      </w:r>
      <w:r>
        <w:rPr>
          <w:rFonts w:hint="eastAsia" w:ascii="宋体" w:hAnsi="宋体" w:eastAsia="宋体" w:cs="宋体"/>
          <w:color w:val="auto"/>
          <w:sz w:val="24"/>
          <w:highlight w:val="none"/>
          <w:lang w:val="en-US" w:eastAsia="zh-CN"/>
        </w:rPr>
        <w:t>要求的其他报价响应</w:t>
      </w:r>
      <w:r>
        <w:rPr>
          <w:rFonts w:hint="eastAsia" w:ascii="宋体" w:hAnsi="宋体" w:eastAsia="宋体" w:cs="宋体"/>
          <w:color w:val="auto"/>
          <w:sz w:val="24"/>
          <w:highlight w:val="none"/>
        </w:rPr>
        <w:t>证明</w:t>
      </w:r>
      <w:r>
        <w:rPr>
          <w:rFonts w:hint="eastAsia" w:ascii="宋体" w:hAnsi="宋体" w:eastAsia="宋体" w:cs="宋体"/>
          <w:color w:val="auto"/>
          <w:sz w:val="24"/>
          <w:highlight w:val="none"/>
          <w:lang w:val="en-US" w:eastAsia="zh-CN"/>
        </w:rPr>
        <w:t>材料</w:t>
      </w:r>
      <w:r>
        <w:rPr>
          <w:rFonts w:hint="eastAsia" w:ascii="宋体" w:hAnsi="宋体" w:eastAsia="宋体" w:cs="宋体"/>
          <w:color w:val="auto"/>
          <w:sz w:val="24"/>
          <w:highlight w:val="none"/>
          <w:lang w:eastAsia="zh-CN"/>
        </w:rPr>
        <w:t>）</w:t>
      </w:r>
    </w:p>
    <w:bookmarkEnd w:id="94"/>
    <w:bookmarkEnd w:id="95"/>
    <w:bookmarkEnd w:id="96"/>
    <w:bookmarkEnd w:id="97"/>
    <w:bookmarkEnd w:id="98"/>
    <w:bookmarkEnd w:id="99"/>
    <w:bookmarkEnd w:id="100"/>
    <w:p w14:paraId="2DAE1366">
      <w:pPr>
        <w:spacing w:line="360" w:lineRule="auto"/>
        <w:ind w:firstLine="0"/>
        <w:jc w:val="left"/>
        <w:rPr>
          <w:rFonts w:asciiTheme="minorEastAsia" w:hAnsiTheme="minorEastAsia" w:eastAsiaTheme="minorEastAsia"/>
          <w:color w:val="auto"/>
          <w:sz w:val="24"/>
          <w:highlight w:val="none"/>
        </w:rPr>
      </w:pPr>
    </w:p>
    <w:sectPr>
      <w:headerReference r:id="rId8" w:type="default"/>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简标宋">
    <w:altName w:val="方正书宋_GBK"/>
    <w:panose1 w:val="00000000000000000000"/>
    <w:charset w:val="86"/>
    <w:family w:val="auto"/>
    <w:pitch w:val="default"/>
    <w:sig w:usb0="00000000" w:usb1="00000000" w:usb2="0000001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onospace">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TimesNewRomanPSMT">
    <w:altName w:val="Times New Roman"/>
    <w:panose1 w:val="00000000000000000000"/>
    <w:charset w:val="00"/>
    <w:family w:val="roman"/>
    <w:pitch w:val="default"/>
    <w:sig w:usb0="00000000" w:usb1="00000000" w:usb2="00000000" w:usb3="00000000" w:csb0="00000000" w:csb1="00000000"/>
  </w:font>
  <w:font w:name="Sylfaen">
    <w:altName w:val="国标宋体-超大字符集"/>
    <w:panose1 w:val="010A0502050306030303"/>
    <w:charset w:val="00"/>
    <w:family w:val="roman"/>
    <w:pitch w:val="default"/>
    <w:sig w:usb0="00000000" w:usb1="00000000" w:usb2="00000000" w:usb3="00000000" w:csb0="2000009F" w:csb1="00000000"/>
  </w:font>
  <w:font w:name="国标宋体-超大字符集">
    <w:panose1 w:val="03000509000000000000"/>
    <w:charset w:val="86"/>
    <w:family w:val="auto"/>
    <w:pitch w:val="default"/>
    <w:sig w:usb0="00000001" w:usb1="08000000" w:usb2="00000000" w:usb3="00000000" w:csb0="00040001" w:csb1="00000000"/>
  </w:font>
  <w:font w:name="MingLiU">
    <w:altName w:val="方正书宋_GBK"/>
    <w:panose1 w:val="02020509000000000000"/>
    <w:charset w:val="88"/>
    <w:family w:val="modern"/>
    <w:pitch w:val="default"/>
    <w:sig w:usb0="00000000" w:usb1="00000000" w:usb2="00000016" w:usb3="00000000" w:csb0="0010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3F143">
    <w:pPr>
      <w:pStyle w:val="16"/>
      <w:jc w:val="center"/>
    </w:pPr>
    <w:r>
      <w:rPr>
        <w:sz w:val="18"/>
      </w:rPr>
      <mc:AlternateContent>
        <mc:Choice Requires="wps">
          <w:drawing>
            <wp:anchor distT="0" distB="0" distL="114300" distR="114300" simplePos="0" relativeHeight="251661312" behindDoc="0" locked="0" layoutInCell="1" allowOverlap="1">
              <wp:simplePos x="0" y="0"/>
              <wp:positionH relativeFrom="margin">
                <wp:posOffset>1437640</wp:posOffset>
              </wp:positionH>
              <wp:positionV relativeFrom="paragraph">
                <wp:posOffset>0</wp:posOffset>
              </wp:positionV>
              <wp:extent cx="2259965" cy="26479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259965" cy="264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A5DC6">
                          <w:pPr>
                            <w:pStyle w:val="16"/>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62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3.2pt;margin-top:0pt;height:20.85pt;width:177.95pt;mso-position-horizontal-relative:margin;z-index:251661312;mso-width-relative:page;mso-height-relative:page;" filled="f" stroked="f" coordsize="21600,21600" o:gfxdata="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MhmrIHXAAAABwEAAA8AAAAAAAAAAQAgAAAAIgAAAGRycy9kb3du&#10;cmV2LnhtbFBLAQIUABQAAAAIAIdO4kD6TA9qOQIAAGIEAAAOAAAAAAAAAAEAIAAAACYBAABkcnMv&#10;ZTJvRG9jLnhtbFBLBQYAAAAABgAGAFkBAADRBQAAAAA=&#10;">
              <v:fill on="f" focussize="0,0"/>
              <v:stroke on="f" weight="0.5pt"/>
              <v:imagedata o:title=""/>
              <o:lock v:ext="edit" aspectratio="f"/>
              <v:textbox inset="0mm,0mm,0mm,0mm">
                <w:txbxContent>
                  <w:p w14:paraId="6E3A5DC6">
                    <w:pPr>
                      <w:pStyle w:val="16"/>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62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A0E51">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38A80A1">
                          <w:pPr>
                            <w:pStyle w:val="16"/>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438A80A1">
                    <w:pPr>
                      <w:pStyle w:val="1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12E7EB2C">
    <w:pPr>
      <w:spacing w:line="220" w:lineRule="auto"/>
      <w:ind w:left="3323"/>
      <w:rPr>
        <w:rFonts w:ascii="宋体" w:hAnsi="宋体" w:cs="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1F1AA">
    <w:pPr>
      <w:spacing w:line="220" w:lineRule="auto"/>
      <w:ind w:left="3323"/>
      <w:rPr>
        <w:rFonts w:ascii="宋体" w:hAnsi="宋体" w:cs="宋体"/>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0928AA6">
                          <w:pPr>
                            <w:pStyle w:val="16"/>
                          </w:pPr>
                          <w:r>
                            <w:t xml:space="preserve">— </w:t>
                          </w:r>
                          <w:r>
                            <w:fldChar w:fldCharType="begin"/>
                          </w:r>
                          <w:r>
                            <w:instrText xml:space="preserve"> PAGE  \* MERGEFORMAT </w:instrText>
                          </w:r>
                          <w:r>
                            <w:fldChar w:fldCharType="separate"/>
                          </w:r>
                          <w:r>
                            <w:t>22</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40928AA6">
                    <w:pPr>
                      <w:pStyle w:val="16"/>
                    </w:pPr>
                    <w:r>
                      <w:t xml:space="preserve">— </w:t>
                    </w:r>
                    <w:r>
                      <w:fldChar w:fldCharType="begin"/>
                    </w:r>
                    <w:r>
                      <w:instrText xml:space="preserve"> PAGE  \* MERGEFORMAT </w:instrText>
                    </w:r>
                    <w:r>
                      <w:fldChar w:fldCharType="separate"/>
                    </w:r>
                    <w:r>
                      <w:t>22</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95F81">
    <w:pPr>
      <w:pStyle w:val="16"/>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posOffset>2066925</wp:posOffset>
              </wp:positionH>
              <wp:positionV relativeFrom="paragraph">
                <wp:posOffset>0</wp:posOffset>
              </wp:positionV>
              <wp:extent cx="2005965" cy="2647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2005965" cy="264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4CA0C">
                          <w:pPr>
                            <w:pStyle w:val="16"/>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55</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62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62.75pt;margin-top:0pt;height:20.85pt;width:157.95pt;mso-position-horizontal-relative:margin;z-index:251660288;mso-width-relative:page;mso-height-relative:page;" filled="f" stroked="f" coordsize="21600,21600" o:gfxdata="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tEi8n1gAAAAcBAAAPAAAAAAAAAAEAIAAAACIAAABkcnMvZG93bnJldi54bWxQ&#10;SwECFAAUAAAACACHTuJAePiTTjICAABWBAAADgAAAAAAAAABACAAAAAlAQAAZHJzL2Uyb0RvYy54&#10;bWxQSwUGAAAAAAYABgBZAQAAyQUAAAAA&#10;">
              <v:fill on="f" focussize="0,0"/>
              <v:stroke on="f" weight="0.5pt"/>
              <v:imagedata o:title=""/>
              <o:lock v:ext="edit" aspectratio="f"/>
              <v:textbox inset="0mm,0mm,0mm,0mm">
                <w:txbxContent>
                  <w:p w14:paraId="0FB4CA0C">
                    <w:pPr>
                      <w:pStyle w:val="16"/>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55</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62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5071F">
    <w:pPr>
      <w:pStyle w:val="17"/>
      <w:jc w:val="center"/>
    </w:pPr>
    <w:r>
      <w:rPr>
        <w:rFonts w:hint="eastAsia" w:asciiTheme="minorEastAsia" w:hAnsiTheme="minorEastAsia" w:eastAsiaTheme="minorEastAsia"/>
        <w:lang w:eastAsia="zh-CN"/>
      </w:rPr>
      <w:t>发包</w:t>
    </w:r>
    <w:r>
      <w:rPr>
        <w:rFonts w:hint="eastAsia" w:asciiTheme="minorEastAsia" w:hAnsiTheme="minorEastAsia" w:eastAsiaTheme="minorEastAsia"/>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7FC8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16646">
    <w:pPr>
      <w:pStyle w:val="17"/>
      <w:jc w:val="center"/>
    </w:pPr>
    <w:r>
      <w:rPr>
        <w:rFonts w:hint="eastAsia" w:asciiTheme="minorEastAsia" w:hAnsiTheme="minorEastAsia" w:eastAsiaTheme="minorEastAsia"/>
        <w:lang w:eastAsia="zh-CN"/>
      </w:rPr>
      <w:t>发包</w:t>
    </w:r>
    <w:r>
      <w:rPr>
        <w:rFonts w:hint="eastAsia" w:asciiTheme="minorEastAsia" w:hAnsiTheme="minorEastAsia" w:eastAsiaTheme="minorEastAsia"/>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537967"/>
    <w:multiLevelType w:val="singleLevel"/>
    <w:tmpl w:val="8A537967"/>
    <w:lvl w:ilvl="0" w:tentative="0">
      <w:start w:val="1"/>
      <w:numFmt w:val="decimal"/>
      <w:lvlText w:val="%1."/>
      <w:lvlJc w:val="left"/>
      <w:pPr>
        <w:tabs>
          <w:tab w:val="left" w:pos="312"/>
        </w:tabs>
      </w:pPr>
    </w:lvl>
  </w:abstractNum>
  <w:abstractNum w:abstractNumId="1">
    <w:nsid w:val="25182C88"/>
    <w:multiLevelType w:val="singleLevel"/>
    <w:tmpl w:val="25182C88"/>
    <w:lvl w:ilvl="0" w:tentative="0">
      <w:start w:val="1"/>
      <w:numFmt w:val="decimal"/>
      <w:lvlText w:val="%1."/>
      <w:lvlJc w:val="left"/>
      <w:pPr>
        <w:tabs>
          <w:tab w:val="left" w:pos="312"/>
        </w:tabs>
      </w:pPr>
    </w:lvl>
  </w:abstractNum>
  <w:abstractNum w:abstractNumId="2">
    <w:nsid w:val="58C5CBEC"/>
    <w:multiLevelType w:val="singleLevel"/>
    <w:tmpl w:val="58C5CBEC"/>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YThhNzBjNmJkOTA3Yzg1MTgwNWZkYWFlNzBjNWMifQ=="/>
  </w:docVars>
  <w:rsids>
    <w:rsidRoot w:val="00276BA1"/>
    <w:rsid w:val="0000043F"/>
    <w:rsid w:val="000037F9"/>
    <w:rsid w:val="000049DA"/>
    <w:rsid w:val="00005403"/>
    <w:rsid w:val="000056B7"/>
    <w:rsid w:val="00007D87"/>
    <w:rsid w:val="000131F7"/>
    <w:rsid w:val="00014039"/>
    <w:rsid w:val="00016B6C"/>
    <w:rsid w:val="00020B57"/>
    <w:rsid w:val="00020B6D"/>
    <w:rsid w:val="000323E2"/>
    <w:rsid w:val="00040C25"/>
    <w:rsid w:val="00042139"/>
    <w:rsid w:val="00042B14"/>
    <w:rsid w:val="00044F49"/>
    <w:rsid w:val="000450C3"/>
    <w:rsid w:val="00050A3F"/>
    <w:rsid w:val="00052F95"/>
    <w:rsid w:val="00054AA3"/>
    <w:rsid w:val="00056ECB"/>
    <w:rsid w:val="00057B40"/>
    <w:rsid w:val="000648D2"/>
    <w:rsid w:val="00070E0E"/>
    <w:rsid w:val="0007146E"/>
    <w:rsid w:val="00076DB7"/>
    <w:rsid w:val="00080FEB"/>
    <w:rsid w:val="00094D41"/>
    <w:rsid w:val="00097CB9"/>
    <w:rsid w:val="000A0161"/>
    <w:rsid w:val="000A10A9"/>
    <w:rsid w:val="000A6693"/>
    <w:rsid w:val="000A7970"/>
    <w:rsid w:val="000A7D94"/>
    <w:rsid w:val="000B1511"/>
    <w:rsid w:val="000B6249"/>
    <w:rsid w:val="000C1DB1"/>
    <w:rsid w:val="000C3DA7"/>
    <w:rsid w:val="000D19EC"/>
    <w:rsid w:val="000D3F37"/>
    <w:rsid w:val="000E3C74"/>
    <w:rsid w:val="000E3F9B"/>
    <w:rsid w:val="000E478E"/>
    <w:rsid w:val="000E668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61"/>
    <w:rsid w:val="001258BA"/>
    <w:rsid w:val="00130601"/>
    <w:rsid w:val="00132F4D"/>
    <w:rsid w:val="00133EA0"/>
    <w:rsid w:val="00137249"/>
    <w:rsid w:val="00140687"/>
    <w:rsid w:val="00146421"/>
    <w:rsid w:val="00153B20"/>
    <w:rsid w:val="00155F64"/>
    <w:rsid w:val="00157856"/>
    <w:rsid w:val="00160729"/>
    <w:rsid w:val="0016455F"/>
    <w:rsid w:val="00165398"/>
    <w:rsid w:val="00166794"/>
    <w:rsid w:val="00166ED8"/>
    <w:rsid w:val="001714C9"/>
    <w:rsid w:val="00171515"/>
    <w:rsid w:val="00172B93"/>
    <w:rsid w:val="001768BC"/>
    <w:rsid w:val="0018119B"/>
    <w:rsid w:val="001844AB"/>
    <w:rsid w:val="001853C7"/>
    <w:rsid w:val="00192879"/>
    <w:rsid w:val="001944B8"/>
    <w:rsid w:val="001967D2"/>
    <w:rsid w:val="00196DA3"/>
    <w:rsid w:val="001970C3"/>
    <w:rsid w:val="001971E5"/>
    <w:rsid w:val="001A0C0F"/>
    <w:rsid w:val="001A68E5"/>
    <w:rsid w:val="001B2A54"/>
    <w:rsid w:val="001B2BA4"/>
    <w:rsid w:val="001B5014"/>
    <w:rsid w:val="001B7327"/>
    <w:rsid w:val="001C2A15"/>
    <w:rsid w:val="001D22EA"/>
    <w:rsid w:val="001D53B4"/>
    <w:rsid w:val="001E1835"/>
    <w:rsid w:val="001F28D2"/>
    <w:rsid w:val="001F2F45"/>
    <w:rsid w:val="001F3023"/>
    <w:rsid w:val="001F35F6"/>
    <w:rsid w:val="001F4AAF"/>
    <w:rsid w:val="001F74CA"/>
    <w:rsid w:val="001F7590"/>
    <w:rsid w:val="002003B6"/>
    <w:rsid w:val="0020244A"/>
    <w:rsid w:val="002049B4"/>
    <w:rsid w:val="0020520B"/>
    <w:rsid w:val="002076AD"/>
    <w:rsid w:val="00213C55"/>
    <w:rsid w:val="00223CF4"/>
    <w:rsid w:val="00224B69"/>
    <w:rsid w:val="00224C4A"/>
    <w:rsid w:val="00231187"/>
    <w:rsid w:val="0023407E"/>
    <w:rsid w:val="00240715"/>
    <w:rsid w:val="00240B40"/>
    <w:rsid w:val="00244182"/>
    <w:rsid w:val="002544A1"/>
    <w:rsid w:val="00257ECE"/>
    <w:rsid w:val="00260382"/>
    <w:rsid w:val="00260B94"/>
    <w:rsid w:val="00264F2E"/>
    <w:rsid w:val="00271245"/>
    <w:rsid w:val="00272BD6"/>
    <w:rsid w:val="00273F66"/>
    <w:rsid w:val="00274A9E"/>
    <w:rsid w:val="00276BA1"/>
    <w:rsid w:val="00280984"/>
    <w:rsid w:val="002832CF"/>
    <w:rsid w:val="00283599"/>
    <w:rsid w:val="002835E3"/>
    <w:rsid w:val="00284542"/>
    <w:rsid w:val="002A14D1"/>
    <w:rsid w:val="002A1A1D"/>
    <w:rsid w:val="002A28AD"/>
    <w:rsid w:val="002B04FD"/>
    <w:rsid w:val="002B5318"/>
    <w:rsid w:val="002B6D27"/>
    <w:rsid w:val="002B7A09"/>
    <w:rsid w:val="002C060C"/>
    <w:rsid w:val="002C078A"/>
    <w:rsid w:val="002C7F27"/>
    <w:rsid w:val="002D05DD"/>
    <w:rsid w:val="002D0E4D"/>
    <w:rsid w:val="002D2965"/>
    <w:rsid w:val="002D3D02"/>
    <w:rsid w:val="002D4CB5"/>
    <w:rsid w:val="002D5900"/>
    <w:rsid w:val="002D684B"/>
    <w:rsid w:val="002E2D3A"/>
    <w:rsid w:val="002E2E96"/>
    <w:rsid w:val="002E3B26"/>
    <w:rsid w:val="002E4AB8"/>
    <w:rsid w:val="002E7FC4"/>
    <w:rsid w:val="00310070"/>
    <w:rsid w:val="0031081B"/>
    <w:rsid w:val="003110EC"/>
    <w:rsid w:val="00312CF5"/>
    <w:rsid w:val="00314289"/>
    <w:rsid w:val="003206A6"/>
    <w:rsid w:val="0032560D"/>
    <w:rsid w:val="00327C92"/>
    <w:rsid w:val="00333292"/>
    <w:rsid w:val="003344E7"/>
    <w:rsid w:val="0033580B"/>
    <w:rsid w:val="003365E7"/>
    <w:rsid w:val="003378D5"/>
    <w:rsid w:val="003473D7"/>
    <w:rsid w:val="00351995"/>
    <w:rsid w:val="00351AC8"/>
    <w:rsid w:val="00353075"/>
    <w:rsid w:val="00363E02"/>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B25A5"/>
    <w:rsid w:val="003B4130"/>
    <w:rsid w:val="003B6FA1"/>
    <w:rsid w:val="003B715B"/>
    <w:rsid w:val="003C2C62"/>
    <w:rsid w:val="003C5566"/>
    <w:rsid w:val="003C577A"/>
    <w:rsid w:val="003C7C74"/>
    <w:rsid w:val="003D1D14"/>
    <w:rsid w:val="003D6C7C"/>
    <w:rsid w:val="003D6EFB"/>
    <w:rsid w:val="003D7E52"/>
    <w:rsid w:val="003E25C6"/>
    <w:rsid w:val="003F7528"/>
    <w:rsid w:val="004011AA"/>
    <w:rsid w:val="0040202C"/>
    <w:rsid w:val="00404A8F"/>
    <w:rsid w:val="00406508"/>
    <w:rsid w:val="004110F6"/>
    <w:rsid w:val="004134F8"/>
    <w:rsid w:val="0041456E"/>
    <w:rsid w:val="004148E3"/>
    <w:rsid w:val="00414F7E"/>
    <w:rsid w:val="004164F8"/>
    <w:rsid w:val="00422224"/>
    <w:rsid w:val="00426F05"/>
    <w:rsid w:val="004328E1"/>
    <w:rsid w:val="004427B7"/>
    <w:rsid w:val="0044349F"/>
    <w:rsid w:val="00445F1F"/>
    <w:rsid w:val="00447862"/>
    <w:rsid w:val="00451F60"/>
    <w:rsid w:val="00452BB2"/>
    <w:rsid w:val="00456054"/>
    <w:rsid w:val="0045656D"/>
    <w:rsid w:val="00462D98"/>
    <w:rsid w:val="00463E7D"/>
    <w:rsid w:val="00472A44"/>
    <w:rsid w:val="00473A89"/>
    <w:rsid w:val="00475899"/>
    <w:rsid w:val="00482C78"/>
    <w:rsid w:val="00483ABC"/>
    <w:rsid w:val="0048634A"/>
    <w:rsid w:val="004874AE"/>
    <w:rsid w:val="0049056F"/>
    <w:rsid w:val="00492217"/>
    <w:rsid w:val="00494D24"/>
    <w:rsid w:val="004951D1"/>
    <w:rsid w:val="004960BB"/>
    <w:rsid w:val="004A1BA3"/>
    <w:rsid w:val="004A27D0"/>
    <w:rsid w:val="004A4D67"/>
    <w:rsid w:val="004B7E79"/>
    <w:rsid w:val="004C13CB"/>
    <w:rsid w:val="004C1AAB"/>
    <w:rsid w:val="004C5B90"/>
    <w:rsid w:val="004D3D4B"/>
    <w:rsid w:val="004D5498"/>
    <w:rsid w:val="004D66A5"/>
    <w:rsid w:val="004D6B00"/>
    <w:rsid w:val="004D732A"/>
    <w:rsid w:val="004E1D50"/>
    <w:rsid w:val="004E3266"/>
    <w:rsid w:val="004E38BA"/>
    <w:rsid w:val="004E50CA"/>
    <w:rsid w:val="004F27A0"/>
    <w:rsid w:val="0050027D"/>
    <w:rsid w:val="00501382"/>
    <w:rsid w:val="005048FB"/>
    <w:rsid w:val="00510563"/>
    <w:rsid w:val="00510798"/>
    <w:rsid w:val="005119B5"/>
    <w:rsid w:val="005125F1"/>
    <w:rsid w:val="00524A11"/>
    <w:rsid w:val="00527768"/>
    <w:rsid w:val="00530EA4"/>
    <w:rsid w:val="005327FB"/>
    <w:rsid w:val="00533251"/>
    <w:rsid w:val="00533FCA"/>
    <w:rsid w:val="005346EF"/>
    <w:rsid w:val="00542F0C"/>
    <w:rsid w:val="005470D4"/>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571E"/>
    <w:rsid w:val="005C088A"/>
    <w:rsid w:val="005C1D52"/>
    <w:rsid w:val="005C46AC"/>
    <w:rsid w:val="005D0200"/>
    <w:rsid w:val="005D44EF"/>
    <w:rsid w:val="005D5112"/>
    <w:rsid w:val="005D5D67"/>
    <w:rsid w:val="005E2BBE"/>
    <w:rsid w:val="005F34CC"/>
    <w:rsid w:val="005F3914"/>
    <w:rsid w:val="005F3B5A"/>
    <w:rsid w:val="005F6AB4"/>
    <w:rsid w:val="00607471"/>
    <w:rsid w:val="00610A66"/>
    <w:rsid w:val="006119B8"/>
    <w:rsid w:val="00613177"/>
    <w:rsid w:val="00613F7C"/>
    <w:rsid w:val="00614BF2"/>
    <w:rsid w:val="0061557C"/>
    <w:rsid w:val="00623DE2"/>
    <w:rsid w:val="00627601"/>
    <w:rsid w:val="006300D0"/>
    <w:rsid w:val="00632012"/>
    <w:rsid w:val="00634694"/>
    <w:rsid w:val="00636517"/>
    <w:rsid w:val="00636EE7"/>
    <w:rsid w:val="00637690"/>
    <w:rsid w:val="00640E1E"/>
    <w:rsid w:val="0064389A"/>
    <w:rsid w:val="00645442"/>
    <w:rsid w:val="006525CD"/>
    <w:rsid w:val="00653F7F"/>
    <w:rsid w:val="00662DCD"/>
    <w:rsid w:val="00662EE8"/>
    <w:rsid w:val="00663813"/>
    <w:rsid w:val="00664AFD"/>
    <w:rsid w:val="00667567"/>
    <w:rsid w:val="0067391A"/>
    <w:rsid w:val="00674173"/>
    <w:rsid w:val="0067534F"/>
    <w:rsid w:val="00677D87"/>
    <w:rsid w:val="006834FA"/>
    <w:rsid w:val="00690DB1"/>
    <w:rsid w:val="00693404"/>
    <w:rsid w:val="006953D9"/>
    <w:rsid w:val="006A1269"/>
    <w:rsid w:val="006A5803"/>
    <w:rsid w:val="006A69C3"/>
    <w:rsid w:val="006A7C15"/>
    <w:rsid w:val="006B1242"/>
    <w:rsid w:val="006B1DBC"/>
    <w:rsid w:val="006B3712"/>
    <w:rsid w:val="006B7D9A"/>
    <w:rsid w:val="006C06D9"/>
    <w:rsid w:val="006C3E22"/>
    <w:rsid w:val="006C5716"/>
    <w:rsid w:val="006C64B2"/>
    <w:rsid w:val="006C74A9"/>
    <w:rsid w:val="006D07DE"/>
    <w:rsid w:val="006D361A"/>
    <w:rsid w:val="006D6A81"/>
    <w:rsid w:val="006E06D9"/>
    <w:rsid w:val="006E1D40"/>
    <w:rsid w:val="006E2E1F"/>
    <w:rsid w:val="006E5059"/>
    <w:rsid w:val="006F5F03"/>
    <w:rsid w:val="006F5FFF"/>
    <w:rsid w:val="00710804"/>
    <w:rsid w:val="00711FC6"/>
    <w:rsid w:val="00712952"/>
    <w:rsid w:val="007130B1"/>
    <w:rsid w:val="00713487"/>
    <w:rsid w:val="00715071"/>
    <w:rsid w:val="007231E9"/>
    <w:rsid w:val="00724F0E"/>
    <w:rsid w:val="007270A6"/>
    <w:rsid w:val="00727C59"/>
    <w:rsid w:val="00733730"/>
    <w:rsid w:val="00734E5D"/>
    <w:rsid w:val="00736013"/>
    <w:rsid w:val="00737BF8"/>
    <w:rsid w:val="0074339B"/>
    <w:rsid w:val="0074478E"/>
    <w:rsid w:val="00750B60"/>
    <w:rsid w:val="00756245"/>
    <w:rsid w:val="00761662"/>
    <w:rsid w:val="00764043"/>
    <w:rsid w:val="00766A36"/>
    <w:rsid w:val="007757CF"/>
    <w:rsid w:val="007769F6"/>
    <w:rsid w:val="00780F9D"/>
    <w:rsid w:val="0078128F"/>
    <w:rsid w:val="007819D9"/>
    <w:rsid w:val="0078683C"/>
    <w:rsid w:val="00790EDB"/>
    <w:rsid w:val="00791538"/>
    <w:rsid w:val="0079326E"/>
    <w:rsid w:val="00796EDE"/>
    <w:rsid w:val="007A5A58"/>
    <w:rsid w:val="007B1C56"/>
    <w:rsid w:val="007B2EDC"/>
    <w:rsid w:val="007C1DD7"/>
    <w:rsid w:val="007C3CD5"/>
    <w:rsid w:val="007C4756"/>
    <w:rsid w:val="007C5E88"/>
    <w:rsid w:val="007C61EF"/>
    <w:rsid w:val="007C6783"/>
    <w:rsid w:val="007D03DE"/>
    <w:rsid w:val="007D1C0D"/>
    <w:rsid w:val="007D2D23"/>
    <w:rsid w:val="007E1AE9"/>
    <w:rsid w:val="007E27D6"/>
    <w:rsid w:val="007E3921"/>
    <w:rsid w:val="00801028"/>
    <w:rsid w:val="00803793"/>
    <w:rsid w:val="00804000"/>
    <w:rsid w:val="008101A2"/>
    <w:rsid w:val="00817A01"/>
    <w:rsid w:val="00820937"/>
    <w:rsid w:val="00825E35"/>
    <w:rsid w:val="00830A4E"/>
    <w:rsid w:val="008334F8"/>
    <w:rsid w:val="00835FFD"/>
    <w:rsid w:val="0084381F"/>
    <w:rsid w:val="00843E35"/>
    <w:rsid w:val="008524CE"/>
    <w:rsid w:val="00857633"/>
    <w:rsid w:val="0086440C"/>
    <w:rsid w:val="008674ED"/>
    <w:rsid w:val="00874EE6"/>
    <w:rsid w:val="00876659"/>
    <w:rsid w:val="0087734C"/>
    <w:rsid w:val="00882141"/>
    <w:rsid w:val="00886BD4"/>
    <w:rsid w:val="008876EC"/>
    <w:rsid w:val="008922A8"/>
    <w:rsid w:val="00895BD5"/>
    <w:rsid w:val="008A16C4"/>
    <w:rsid w:val="008A4A27"/>
    <w:rsid w:val="008A649F"/>
    <w:rsid w:val="008A6FED"/>
    <w:rsid w:val="008B39C5"/>
    <w:rsid w:val="008B51AA"/>
    <w:rsid w:val="008C67F2"/>
    <w:rsid w:val="008D064A"/>
    <w:rsid w:val="008D2537"/>
    <w:rsid w:val="008D2B0F"/>
    <w:rsid w:val="008D633C"/>
    <w:rsid w:val="008E449E"/>
    <w:rsid w:val="008E4BDD"/>
    <w:rsid w:val="008E770C"/>
    <w:rsid w:val="008F187F"/>
    <w:rsid w:val="008F402F"/>
    <w:rsid w:val="008F76E8"/>
    <w:rsid w:val="00904508"/>
    <w:rsid w:val="009078A1"/>
    <w:rsid w:val="00911E9C"/>
    <w:rsid w:val="00913719"/>
    <w:rsid w:val="00917405"/>
    <w:rsid w:val="00920C1F"/>
    <w:rsid w:val="00920F7C"/>
    <w:rsid w:val="00922718"/>
    <w:rsid w:val="00924743"/>
    <w:rsid w:val="00932A87"/>
    <w:rsid w:val="00934CAE"/>
    <w:rsid w:val="0093560E"/>
    <w:rsid w:val="0094257D"/>
    <w:rsid w:val="009443B6"/>
    <w:rsid w:val="00946F68"/>
    <w:rsid w:val="0095467C"/>
    <w:rsid w:val="00954A61"/>
    <w:rsid w:val="00955C6F"/>
    <w:rsid w:val="00966C7B"/>
    <w:rsid w:val="009701DC"/>
    <w:rsid w:val="009715D8"/>
    <w:rsid w:val="009811A8"/>
    <w:rsid w:val="0098388D"/>
    <w:rsid w:val="00991460"/>
    <w:rsid w:val="00995BF9"/>
    <w:rsid w:val="009975CC"/>
    <w:rsid w:val="009A0CAF"/>
    <w:rsid w:val="009A2207"/>
    <w:rsid w:val="009A2D34"/>
    <w:rsid w:val="009A6565"/>
    <w:rsid w:val="009B0EDA"/>
    <w:rsid w:val="009B6C42"/>
    <w:rsid w:val="009D2998"/>
    <w:rsid w:val="009D31F7"/>
    <w:rsid w:val="009D32C2"/>
    <w:rsid w:val="009D50DB"/>
    <w:rsid w:val="009E2932"/>
    <w:rsid w:val="009E3A0A"/>
    <w:rsid w:val="009F1936"/>
    <w:rsid w:val="009F3E91"/>
    <w:rsid w:val="00A008DA"/>
    <w:rsid w:val="00A00C93"/>
    <w:rsid w:val="00A0571E"/>
    <w:rsid w:val="00A13A27"/>
    <w:rsid w:val="00A1499B"/>
    <w:rsid w:val="00A170D8"/>
    <w:rsid w:val="00A30A1B"/>
    <w:rsid w:val="00A311AD"/>
    <w:rsid w:val="00A314C2"/>
    <w:rsid w:val="00A501BF"/>
    <w:rsid w:val="00A519A0"/>
    <w:rsid w:val="00A5274A"/>
    <w:rsid w:val="00A62A2E"/>
    <w:rsid w:val="00A63A4D"/>
    <w:rsid w:val="00A63E86"/>
    <w:rsid w:val="00A67AF7"/>
    <w:rsid w:val="00A75185"/>
    <w:rsid w:val="00A754A0"/>
    <w:rsid w:val="00A757C3"/>
    <w:rsid w:val="00A75E5B"/>
    <w:rsid w:val="00A75F4B"/>
    <w:rsid w:val="00A7684A"/>
    <w:rsid w:val="00A83B69"/>
    <w:rsid w:val="00A86533"/>
    <w:rsid w:val="00A91CA2"/>
    <w:rsid w:val="00A92FB8"/>
    <w:rsid w:val="00A948F1"/>
    <w:rsid w:val="00AA0BE3"/>
    <w:rsid w:val="00AA18F9"/>
    <w:rsid w:val="00AA1D7D"/>
    <w:rsid w:val="00AA2790"/>
    <w:rsid w:val="00AA3806"/>
    <w:rsid w:val="00AB139D"/>
    <w:rsid w:val="00AB2A35"/>
    <w:rsid w:val="00AB2D05"/>
    <w:rsid w:val="00AB3EFB"/>
    <w:rsid w:val="00AC0B05"/>
    <w:rsid w:val="00AC1962"/>
    <w:rsid w:val="00AC7F9D"/>
    <w:rsid w:val="00AD079A"/>
    <w:rsid w:val="00AD1890"/>
    <w:rsid w:val="00AE2149"/>
    <w:rsid w:val="00AE2BF3"/>
    <w:rsid w:val="00AE33AE"/>
    <w:rsid w:val="00AE3986"/>
    <w:rsid w:val="00AE3F91"/>
    <w:rsid w:val="00AF5B63"/>
    <w:rsid w:val="00B0053D"/>
    <w:rsid w:val="00B01176"/>
    <w:rsid w:val="00B039E3"/>
    <w:rsid w:val="00B06D36"/>
    <w:rsid w:val="00B12BC4"/>
    <w:rsid w:val="00B22838"/>
    <w:rsid w:val="00B33E8F"/>
    <w:rsid w:val="00B33E95"/>
    <w:rsid w:val="00B3720B"/>
    <w:rsid w:val="00B45D0B"/>
    <w:rsid w:val="00B52FA0"/>
    <w:rsid w:val="00B5558A"/>
    <w:rsid w:val="00B56513"/>
    <w:rsid w:val="00B61B64"/>
    <w:rsid w:val="00B631E4"/>
    <w:rsid w:val="00B64376"/>
    <w:rsid w:val="00B6570C"/>
    <w:rsid w:val="00B6790B"/>
    <w:rsid w:val="00B7401F"/>
    <w:rsid w:val="00B769CF"/>
    <w:rsid w:val="00B806C3"/>
    <w:rsid w:val="00B80D6F"/>
    <w:rsid w:val="00B84FCA"/>
    <w:rsid w:val="00B9089F"/>
    <w:rsid w:val="00B91826"/>
    <w:rsid w:val="00B91AEE"/>
    <w:rsid w:val="00B95F5A"/>
    <w:rsid w:val="00B96EAD"/>
    <w:rsid w:val="00BA4962"/>
    <w:rsid w:val="00BA4B7C"/>
    <w:rsid w:val="00BA79F5"/>
    <w:rsid w:val="00BA7EA7"/>
    <w:rsid w:val="00BB2E28"/>
    <w:rsid w:val="00BB3AB6"/>
    <w:rsid w:val="00BB766D"/>
    <w:rsid w:val="00BC007B"/>
    <w:rsid w:val="00BC1715"/>
    <w:rsid w:val="00BC26BA"/>
    <w:rsid w:val="00BC35F8"/>
    <w:rsid w:val="00BC481B"/>
    <w:rsid w:val="00BD08DF"/>
    <w:rsid w:val="00BD2D29"/>
    <w:rsid w:val="00BD617C"/>
    <w:rsid w:val="00BE782C"/>
    <w:rsid w:val="00BF376F"/>
    <w:rsid w:val="00BF46A6"/>
    <w:rsid w:val="00BF6CAD"/>
    <w:rsid w:val="00BF71FB"/>
    <w:rsid w:val="00C04DBF"/>
    <w:rsid w:val="00C05E4C"/>
    <w:rsid w:val="00C06545"/>
    <w:rsid w:val="00C134AF"/>
    <w:rsid w:val="00C220FC"/>
    <w:rsid w:val="00C24DFA"/>
    <w:rsid w:val="00C24F9D"/>
    <w:rsid w:val="00C30182"/>
    <w:rsid w:val="00C31FC9"/>
    <w:rsid w:val="00C37A63"/>
    <w:rsid w:val="00C42248"/>
    <w:rsid w:val="00C46A36"/>
    <w:rsid w:val="00C47037"/>
    <w:rsid w:val="00C50235"/>
    <w:rsid w:val="00C509E3"/>
    <w:rsid w:val="00C53625"/>
    <w:rsid w:val="00C548BA"/>
    <w:rsid w:val="00C5679D"/>
    <w:rsid w:val="00C57784"/>
    <w:rsid w:val="00C602C1"/>
    <w:rsid w:val="00C63FC0"/>
    <w:rsid w:val="00C66392"/>
    <w:rsid w:val="00C7075D"/>
    <w:rsid w:val="00C73D09"/>
    <w:rsid w:val="00C74895"/>
    <w:rsid w:val="00C74C5E"/>
    <w:rsid w:val="00C82558"/>
    <w:rsid w:val="00C827A2"/>
    <w:rsid w:val="00C82B69"/>
    <w:rsid w:val="00C82C8E"/>
    <w:rsid w:val="00C82CB3"/>
    <w:rsid w:val="00C91B28"/>
    <w:rsid w:val="00C91F3A"/>
    <w:rsid w:val="00C93590"/>
    <w:rsid w:val="00CA31EA"/>
    <w:rsid w:val="00CA5446"/>
    <w:rsid w:val="00CB14E5"/>
    <w:rsid w:val="00CB218D"/>
    <w:rsid w:val="00CB5625"/>
    <w:rsid w:val="00CB5797"/>
    <w:rsid w:val="00CC1C17"/>
    <w:rsid w:val="00CC4F7F"/>
    <w:rsid w:val="00CC5D70"/>
    <w:rsid w:val="00CD09E1"/>
    <w:rsid w:val="00CE1780"/>
    <w:rsid w:val="00CE4913"/>
    <w:rsid w:val="00CE66BD"/>
    <w:rsid w:val="00CF0671"/>
    <w:rsid w:val="00CF247A"/>
    <w:rsid w:val="00CF44AD"/>
    <w:rsid w:val="00CF4D7C"/>
    <w:rsid w:val="00CF4FC0"/>
    <w:rsid w:val="00CF7486"/>
    <w:rsid w:val="00D00637"/>
    <w:rsid w:val="00D1072F"/>
    <w:rsid w:val="00D108A5"/>
    <w:rsid w:val="00D14585"/>
    <w:rsid w:val="00D153C8"/>
    <w:rsid w:val="00D17F98"/>
    <w:rsid w:val="00D20EFF"/>
    <w:rsid w:val="00D215B9"/>
    <w:rsid w:val="00D31324"/>
    <w:rsid w:val="00D40D69"/>
    <w:rsid w:val="00D4386E"/>
    <w:rsid w:val="00D51432"/>
    <w:rsid w:val="00D53ED8"/>
    <w:rsid w:val="00D541A0"/>
    <w:rsid w:val="00D616DD"/>
    <w:rsid w:val="00D64857"/>
    <w:rsid w:val="00D6493A"/>
    <w:rsid w:val="00D649A5"/>
    <w:rsid w:val="00D66833"/>
    <w:rsid w:val="00D67875"/>
    <w:rsid w:val="00D71E86"/>
    <w:rsid w:val="00D731C6"/>
    <w:rsid w:val="00D745C5"/>
    <w:rsid w:val="00D75327"/>
    <w:rsid w:val="00D77D6B"/>
    <w:rsid w:val="00D80C36"/>
    <w:rsid w:val="00D81A32"/>
    <w:rsid w:val="00D86EE1"/>
    <w:rsid w:val="00D95E90"/>
    <w:rsid w:val="00D96126"/>
    <w:rsid w:val="00DA2FD5"/>
    <w:rsid w:val="00DB4B1C"/>
    <w:rsid w:val="00DB5085"/>
    <w:rsid w:val="00DB619F"/>
    <w:rsid w:val="00DB7211"/>
    <w:rsid w:val="00DC1062"/>
    <w:rsid w:val="00DC132C"/>
    <w:rsid w:val="00DC181A"/>
    <w:rsid w:val="00DC5727"/>
    <w:rsid w:val="00DD43F0"/>
    <w:rsid w:val="00DD44DE"/>
    <w:rsid w:val="00DE09AB"/>
    <w:rsid w:val="00DE1DCC"/>
    <w:rsid w:val="00DE352F"/>
    <w:rsid w:val="00DE4A3F"/>
    <w:rsid w:val="00DE5A99"/>
    <w:rsid w:val="00DF4367"/>
    <w:rsid w:val="00DF7291"/>
    <w:rsid w:val="00E0574A"/>
    <w:rsid w:val="00E1243D"/>
    <w:rsid w:val="00E12742"/>
    <w:rsid w:val="00E146D4"/>
    <w:rsid w:val="00E14815"/>
    <w:rsid w:val="00E21D37"/>
    <w:rsid w:val="00E220ED"/>
    <w:rsid w:val="00E22B44"/>
    <w:rsid w:val="00E27700"/>
    <w:rsid w:val="00E30ACD"/>
    <w:rsid w:val="00E32735"/>
    <w:rsid w:val="00E34236"/>
    <w:rsid w:val="00E371FE"/>
    <w:rsid w:val="00E44B88"/>
    <w:rsid w:val="00E60DDB"/>
    <w:rsid w:val="00E65AD9"/>
    <w:rsid w:val="00E66E36"/>
    <w:rsid w:val="00E67F21"/>
    <w:rsid w:val="00E702ED"/>
    <w:rsid w:val="00E709A4"/>
    <w:rsid w:val="00E75917"/>
    <w:rsid w:val="00E772DB"/>
    <w:rsid w:val="00E86012"/>
    <w:rsid w:val="00E860CA"/>
    <w:rsid w:val="00E86BAB"/>
    <w:rsid w:val="00E92962"/>
    <w:rsid w:val="00E94E10"/>
    <w:rsid w:val="00E96743"/>
    <w:rsid w:val="00E96A42"/>
    <w:rsid w:val="00E97497"/>
    <w:rsid w:val="00EA16D5"/>
    <w:rsid w:val="00EA49C5"/>
    <w:rsid w:val="00EA6279"/>
    <w:rsid w:val="00EB5027"/>
    <w:rsid w:val="00EB6C87"/>
    <w:rsid w:val="00EC1836"/>
    <w:rsid w:val="00EC2F6E"/>
    <w:rsid w:val="00EC3990"/>
    <w:rsid w:val="00EC484B"/>
    <w:rsid w:val="00EC7E58"/>
    <w:rsid w:val="00ED15FA"/>
    <w:rsid w:val="00ED5C9F"/>
    <w:rsid w:val="00EE050C"/>
    <w:rsid w:val="00EE2113"/>
    <w:rsid w:val="00EE5730"/>
    <w:rsid w:val="00EE6E9A"/>
    <w:rsid w:val="00EF2AC4"/>
    <w:rsid w:val="00EF397E"/>
    <w:rsid w:val="00F0340C"/>
    <w:rsid w:val="00F06F68"/>
    <w:rsid w:val="00F11241"/>
    <w:rsid w:val="00F15E9D"/>
    <w:rsid w:val="00F23FA7"/>
    <w:rsid w:val="00F24C2D"/>
    <w:rsid w:val="00F27BEC"/>
    <w:rsid w:val="00F27D59"/>
    <w:rsid w:val="00F316E1"/>
    <w:rsid w:val="00F32155"/>
    <w:rsid w:val="00F32A81"/>
    <w:rsid w:val="00F40C82"/>
    <w:rsid w:val="00F4197F"/>
    <w:rsid w:val="00F46998"/>
    <w:rsid w:val="00F5382D"/>
    <w:rsid w:val="00F53D9C"/>
    <w:rsid w:val="00F54195"/>
    <w:rsid w:val="00F5462B"/>
    <w:rsid w:val="00F54653"/>
    <w:rsid w:val="00F54FAC"/>
    <w:rsid w:val="00F569DE"/>
    <w:rsid w:val="00F57205"/>
    <w:rsid w:val="00F634AD"/>
    <w:rsid w:val="00F63677"/>
    <w:rsid w:val="00F65B44"/>
    <w:rsid w:val="00F70658"/>
    <w:rsid w:val="00F7417E"/>
    <w:rsid w:val="00F75B81"/>
    <w:rsid w:val="00F761CA"/>
    <w:rsid w:val="00F804C4"/>
    <w:rsid w:val="00F80C7E"/>
    <w:rsid w:val="00F82F83"/>
    <w:rsid w:val="00F86097"/>
    <w:rsid w:val="00F90C64"/>
    <w:rsid w:val="00F9210C"/>
    <w:rsid w:val="00F92B30"/>
    <w:rsid w:val="00F933B9"/>
    <w:rsid w:val="00F94674"/>
    <w:rsid w:val="00F94919"/>
    <w:rsid w:val="00F94A59"/>
    <w:rsid w:val="00FA25B6"/>
    <w:rsid w:val="00FA2FAF"/>
    <w:rsid w:val="00FA54F6"/>
    <w:rsid w:val="00FA64B1"/>
    <w:rsid w:val="00FA70F3"/>
    <w:rsid w:val="00FA71CD"/>
    <w:rsid w:val="00FB0453"/>
    <w:rsid w:val="00FB0C07"/>
    <w:rsid w:val="00FB205F"/>
    <w:rsid w:val="00FB298D"/>
    <w:rsid w:val="00FB3171"/>
    <w:rsid w:val="00FB444E"/>
    <w:rsid w:val="00FC1439"/>
    <w:rsid w:val="00FC3F65"/>
    <w:rsid w:val="00FC5007"/>
    <w:rsid w:val="00FC70AD"/>
    <w:rsid w:val="00FC724B"/>
    <w:rsid w:val="00FC7910"/>
    <w:rsid w:val="00FD01E0"/>
    <w:rsid w:val="00FD50FC"/>
    <w:rsid w:val="00FE1627"/>
    <w:rsid w:val="00FE2D4E"/>
    <w:rsid w:val="00FE3F22"/>
    <w:rsid w:val="00FF092F"/>
    <w:rsid w:val="00FF0DA7"/>
    <w:rsid w:val="00FF2B09"/>
    <w:rsid w:val="00FF44E0"/>
    <w:rsid w:val="00FF6C72"/>
    <w:rsid w:val="01521C8D"/>
    <w:rsid w:val="01722E9F"/>
    <w:rsid w:val="01915CC2"/>
    <w:rsid w:val="01AB3A11"/>
    <w:rsid w:val="01C42B8B"/>
    <w:rsid w:val="01D0231A"/>
    <w:rsid w:val="021B4775"/>
    <w:rsid w:val="02306473"/>
    <w:rsid w:val="0251610C"/>
    <w:rsid w:val="02585D19"/>
    <w:rsid w:val="029307AF"/>
    <w:rsid w:val="029D28C9"/>
    <w:rsid w:val="02AE55E9"/>
    <w:rsid w:val="02EB0203"/>
    <w:rsid w:val="02FF5E45"/>
    <w:rsid w:val="03031E35"/>
    <w:rsid w:val="0355281D"/>
    <w:rsid w:val="0361440A"/>
    <w:rsid w:val="03634626"/>
    <w:rsid w:val="03710AF1"/>
    <w:rsid w:val="039E740C"/>
    <w:rsid w:val="03A378D6"/>
    <w:rsid w:val="03EF1A15"/>
    <w:rsid w:val="041B280B"/>
    <w:rsid w:val="041E18B8"/>
    <w:rsid w:val="044E2BE0"/>
    <w:rsid w:val="0451447E"/>
    <w:rsid w:val="045F16CA"/>
    <w:rsid w:val="04625BFB"/>
    <w:rsid w:val="04804DA9"/>
    <w:rsid w:val="048B3E34"/>
    <w:rsid w:val="05123C0E"/>
    <w:rsid w:val="057523EE"/>
    <w:rsid w:val="05972365"/>
    <w:rsid w:val="05A10D01"/>
    <w:rsid w:val="06420522"/>
    <w:rsid w:val="06640499"/>
    <w:rsid w:val="06782196"/>
    <w:rsid w:val="0680729D"/>
    <w:rsid w:val="069B6CAB"/>
    <w:rsid w:val="06AE129F"/>
    <w:rsid w:val="07266C48"/>
    <w:rsid w:val="072D20A4"/>
    <w:rsid w:val="073B420D"/>
    <w:rsid w:val="074D3623"/>
    <w:rsid w:val="07593D76"/>
    <w:rsid w:val="076F5347"/>
    <w:rsid w:val="07707311"/>
    <w:rsid w:val="077C1F7C"/>
    <w:rsid w:val="07C5765D"/>
    <w:rsid w:val="07E61381"/>
    <w:rsid w:val="08023127"/>
    <w:rsid w:val="080D4B60"/>
    <w:rsid w:val="083E07E8"/>
    <w:rsid w:val="08566507"/>
    <w:rsid w:val="086D7A09"/>
    <w:rsid w:val="08E753B1"/>
    <w:rsid w:val="08F216FE"/>
    <w:rsid w:val="091F0FEF"/>
    <w:rsid w:val="096D58B6"/>
    <w:rsid w:val="09727371"/>
    <w:rsid w:val="09A909AA"/>
    <w:rsid w:val="09ED4C49"/>
    <w:rsid w:val="0A3A3D9D"/>
    <w:rsid w:val="0A3D35AB"/>
    <w:rsid w:val="0A542106"/>
    <w:rsid w:val="0A6C4667"/>
    <w:rsid w:val="0A7702DE"/>
    <w:rsid w:val="0A854E82"/>
    <w:rsid w:val="0AA417AC"/>
    <w:rsid w:val="0ABB08A3"/>
    <w:rsid w:val="0ABF65E6"/>
    <w:rsid w:val="0AD656DD"/>
    <w:rsid w:val="0AE75B3C"/>
    <w:rsid w:val="0B1C2789"/>
    <w:rsid w:val="0B3348DE"/>
    <w:rsid w:val="0B667C07"/>
    <w:rsid w:val="0B786794"/>
    <w:rsid w:val="0BB974D9"/>
    <w:rsid w:val="0BBE711B"/>
    <w:rsid w:val="0BD47173"/>
    <w:rsid w:val="0BF00A21"/>
    <w:rsid w:val="0BF40511"/>
    <w:rsid w:val="0C0149DC"/>
    <w:rsid w:val="0C1B47F2"/>
    <w:rsid w:val="0C2D757F"/>
    <w:rsid w:val="0C4264AA"/>
    <w:rsid w:val="0C6157E5"/>
    <w:rsid w:val="0C7B02EA"/>
    <w:rsid w:val="0C915D60"/>
    <w:rsid w:val="0CC51EAD"/>
    <w:rsid w:val="0D112D0C"/>
    <w:rsid w:val="0D200E92"/>
    <w:rsid w:val="0D2F685C"/>
    <w:rsid w:val="0D4252AC"/>
    <w:rsid w:val="0D605732"/>
    <w:rsid w:val="0D865199"/>
    <w:rsid w:val="0DA83FA6"/>
    <w:rsid w:val="0DAC7B3F"/>
    <w:rsid w:val="0DB63633"/>
    <w:rsid w:val="0DFC545B"/>
    <w:rsid w:val="0E2A021A"/>
    <w:rsid w:val="0E7F7551"/>
    <w:rsid w:val="0EA0228A"/>
    <w:rsid w:val="0F451DFB"/>
    <w:rsid w:val="0F6839C2"/>
    <w:rsid w:val="0F753717"/>
    <w:rsid w:val="0FA364D6"/>
    <w:rsid w:val="0FAC0D64"/>
    <w:rsid w:val="10134A62"/>
    <w:rsid w:val="10607C4F"/>
    <w:rsid w:val="106E6418"/>
    <w:rsid w:val="10AD5132"/>
    <w:rsid w:val="10D4446D"/>
    <w:rsid w:val="11323C4E"/>
    <w:rsid w:val="113D64B6"/>
    <w:rsid w:val="114D2E9A"/>
    <w:rsid w:val="11531836"/>
    <w:rsid w:val="118F65E6"/>
    <w:rsid w:val="11DC7A7D"/>
    <w:rsid w:val="11E231E6"/>
    <w:rsid w:val="12142996"/>
    <w:rsid w:val="1222745A"/>
    <w:rsid w:val="12D71D5F"/>
    <w:rsid w:val="12E0534B"/>
    <w:rsid w:val="12F23C0D"/>
    <w:rsid w:val="12FA4EF2"/>
    <w:rsid w:val="1306142A"/>
    <w:rsid w:val="13160A9B"/>
    <w:rsid w:val="131C20FB"/>
    <w:rsid w:val="134143EC"/>
    <w:rsid w:val="13572D88"/>
    <w:rsid w:val="139323BD"/>
    <w:rsid w:val="139B3968"/>
    <w:rsid w:val="13BA5B9C"/>
    <w:rsid w:val="13E470BD"/>
    <w:rsid w:val="13F56BD4"/>
    <w:rsid w:val="13F82B68"/>
    <w:rsid w:val="14060DE1"/>
    <w:rsid w:val="14423DE3"/>
    <w:rsid w:val="144C5768"/>
    <w:rsid w:val="146F2E2A"/>
    <w:rsid w:val="1487491E"/>
    <w:rsid w:val="14952165"/>
    <w:rsid w:val="14BF5B00"/>
    <w:rsid w:val="14C31FAA"/>
    <w:rsid w:val="14D53EB9"/>
    <w:rsid w:val="151B7FB7"/>
    <w:rsid w:val="152754B3"/>
    <w:rsid w:val="15A77F2B"/>
    <w:rsid w:val="15B36D47"/>
    <w:rsid w:val="163C4F8E"/>
    <w:rsid w:val="164B0D40"/>
    <w:rsid w:val="167B6427"/>
    <w:rsid w:val="16A3500D"/>
    <w:rsid w:val="16B27D38"/>
    <w:rsid w:val="16D245C0"/>
    <w:rsid w:val="16FE0496"/>
    <w:rsid w:val="170F61FF"/>
    <w:rsid w:val="17481711"/>
    <w:rsid w:val="178F10EE"/>
    <w:rsid w:val="179D2269"/>
    <w:rsid w:val="17C4348D"/>
    <w:rsid w:val="18151E47"/>
    <w:rsid w:val="18BA663E"/>
    <w:rsid w:val="1930691F"/>
    <w:rsid w:val="19696B66"/>
    <w:rsid w:val="19960E59"/>
    <w:rsid w:val="19A76BC3"/>
    <w:rsid w:val="19C74C01"/>
    <w:rsid w:val="19D13C3F"/>
    <w:rsid w:val="19E00326"/>
    <w:rsid w:val="1A2A51D0"/>
    <w:rsid w:val="1A3D7527"/>
    <w:rsid w:val="1A6528FE"/>
    <w:rsid w:val="1A824F3A"/>
    <w:rsid w:val="1A835004"/>
    <w:rsid w:val="1A9058A9"/>
    <w:rsid w:val="1A9A04D5"/>
    <w:rsid w:val="1AB25BC6"/>
    <w:rsid w:val="1AB87E7C"/>
    <w:rsid w:val="1B050711"/>
    <w:rsid w:val="1B76030C"/>
    <w:rsid w:val="1B79633D"/>
    <w:rsid w:val="1BA61F6F"/>
    <w:rsid w:val="1BC51582"/>
    <w:rsid w:val="1BCB2228"/>
    <w:rsid w:val="1BCF41AF"/>
    <w:rsid w:val="1BFB0F3C"/>
    <w:rsid w:val="1C2C1601"/>
    <w:rsid w:val="1C4032FE"/>
    <w:rsid w:val="1C573CFA"/>
    <w:rsid w:val="1C63029E"/>
    <w:rsid w:val="1C715A71"/>
    <w:rsid w:val="1C817B9F"/>
    <w:rsid w:val="1CA93E55"/>
    <w:rsid w:val="1CC921E7"/>
    <w:rsid w:val="1D167BBB"/>
    <w:rsid w:val="1D1C4205"/>
    <w:rsid w:val="1D444EB6"/>
    <w:rsid w:val="1D65301C"/>
    <w:rsid w:val="1D6F5768"/>
    <w:rsid w:val="1DA840EB"/>
    <w:rsid w:val="1DC600DA"/>
    <w:rsid w:val="1DDF4451"/>
    <w:rsid w:val="1E075E82"/>
    <w:rsid w:val="1E2928CE"/>
    <w:rsid w:val="1E5310C7"/>
    <w:rsid w:val="1E6C03DB"/>
    <w:rsid w:val="1E8A0861"/>
    <w:rsid w:val="1E9811D0"/>
    <w:rsid w:val="1ECB3353"/>
    <w:rsid w:val="1EDD6BE3"/>
    <w:rsid w:val="1F3E1D77"/>
    <w:rsid w:val="1F7E34F3"/>
    <w:rsid w:val="1FCD6C57"/>
    <w:rsid w:val="1FE50445"/>
    <w:rsid w:val="201B28B0"/>
    <w:rsid w:val="202C43E4"/>
    <w:rsid w:val="203B62B7"/>
    <w:rsid w:val="20C0056A"/>
    <w:rsid w:val="20C16461"/>
    <w:rsid w:val="20FF5536"/>
    <w:rsid w:val="21042B4C"/>
    <w:rsid w:val="211D776A"/>
    <w:rsid w:val="21466CC1"/>
    <w:rsid w:val="217952E8"/>
    <w:rsid w:val="2185512D"/>
    <w:rsid w:val="21B843D9"/>
    <w:rsid w:val="21D818E3"/>
    <w:rsid w:val="21DE339D"/>
    <w:rsid w:val="21F37F51"/>
    <w:rsid w:val="21F97340"/>
    <w:rsid w:val="2253544B"/>
    <w:rsid w:val="226F2197"/>
    <w:rsid w:val="229E3AD3"/>
    <w:rsid w:val="22B91715"/>
    <w:rsid w:val="22CA3770"/>
    <w:rsid w:val="23146520"/>
    <w:rsid w:val="231921B3"/>
    <w:rsid w:val="23333E92"/>
    <w:rsid w:val="233B63E4"/>
    <w:rsid w:val="23435F11"/>
    <w:rsid w:val="23536DBA"/>
    <w:rsid w:val="23585502"/>
    <w:rsid w:val="23596C26"/>
    <w:rsid w:val="23B430A3"/>
    <w:rsid w:val="24066BDB"/>
    <w:rsid w:val="24127792"/>
    <w:rsid w:val="24174945"/>
    <w:rsid w:val="241E3F25"/>
    <w:rsid w:val="24213A15"/>
    <w:rsid w:val="244F06AA"/>
    <w:rsid w:val="24577437"/>
    <w:rsid w:val="2492221D"/>
    <w:rsid w:val="24CA590D"/>
    <w:rsid w:val="24DC16EA"/>
    <w:rsid w:val="24EA2059"/>
    <w:rsid w:val="24FB4266"/>
    <w:rsid w:val="24FB7DC2"/>
    <w:rsid w:val="2551032A"/>
    <w:rsid w:val="25583467"/>
    <w:rsid w:val="25866352"/>
    <w:rsid w:val="25BC4456"/>
    <w:rsid w:val="25CD79B1"/>
    <w:rsid w:val="261A0BE6"/>
    <w:rsid w:val="262D78EB"/>
    <w:rsid w:val="263C4B36"/>
    <w:rsid w:val="268C5772"/>
    <w:rsid w:val="26B96187"/>
    <w:rsid w:val="26F75CDB"/>
    <w:rsid w:val="27232340"/>
    <w:rsid w:val="27475541"/>
    <w:rsid w:val="27514612"/>
    <w:rsid w:val="27750300"/>
    <w:rsid w:val="27CA60F4"/>
    <w:rsid w:val="27E85AF1"/>
    <w:rsid w:val="27EC60E8"/>
    <w:rsid w:val="27F31225"/>
    <w:rsid w:val="28277120"/>
    <w:rsid w:val="283C2BCC"/>
    <w:rsid w:val="28656A33"/>
    <w:rsid w:val="28785E86"/>
    <w:rsid w:val="28C929C1"/>
    <w:rsid w:val="29033AAB"/>
    <w:rsid w:val="29220014"/>
    <w:rsid w:val="295220BC"/>
    <w:rsid w:val="2953641F"/>
    <w:rsid w:val="296C6122"/>
    <w:rsid w:val="29752839"/>
    <w:rsid w:val="29B25C45"/>
    <w:rsid w:val="29B9024C"/>
    <w:rsid w:val="29DA6B0B"/>
    <w:rsid w:val="29DB6B11"/>
    <w:rsid w:val="2A093B18"/>
    <w:rsid w:val="2A705CDB"/>
    <w:rsid w:val="2A8D7B4E"/>
    <w:rsid w:val="2AA66A22"/>
    <w:rsid w:val="2ABD245A"/>
    <w:rsid w:val="2B412386"/>
    <w:rsid w:val="2B42499D"/>
    <w:rsid w:val="2B4A7350"/>
    <w:rsid w:val="2B6568DD"/>
    <w:rsid w:val="2B9845BD"/>
    <w:rsid w:val="2BAA609E"/>
    <w:rsid w:val="2BB34FD2"/>
    <w:rsid w:val="2BD870AF"/>
    <w:rsid w:val="2BE879B1"/>
    <w:rsid w:val="2BFF63EA"/>
    <w:rsid w:val="2C0E2AD1"/>
    <w:rsid w:val="2C267E1B"/>
    <w:rsid w:val="2C4A1610"/>
    <w:rsid w:val="2C6E3570"/>
    <w:rsid w:val="2C77062D"/>
    <w:rsid w:val="2C840FE5"/>
    <w:rsid w:val="2C9A2F15"/>
    <w:rsid w:val="2CCB6C14"/>
    <w:rsid w:val="2CCE571D"/>
    <w:rsid w:val="2CD258AD"/>
    <w:rsid w:val="2CEA687B"/>
    <w:rsid w:val="2CF47F19"/>
    <w:rsid w:val="2D1633EB"/>
    <w:rsid w:val="2D83129D"/>
    <w:rsid w:val="2DB43204"/>
    <w:rsid w:val="2DB72CF5"/>
    <w:rsid w:val="2DC93154"/>
    <w:rsid w:val="2DDD09AD"/>
    <w:rsid w:val="2DE16C1F"/>
    <w:rsid w:val="2E1B2EA1"/>
    <w:rsid w:val="2E63511A"/>
    <w:rsid w:val="2E991DFC"/>
    <w:rsid w:val="2EB35320"/>
    <w:rsid w:val="2EC13E2B"/>
    <w:rsid w:val="2EEE0998"/>
    <w:rsid w:val="2F111D48"/>
    <w:rsid w:val="2F317872"/>
    <w:rsid w:val="2F3E547B"/>
    <w:rsid w:val="2F3F0C54"/>
    <w:rsid w:val="2F4615DA"/>
    <w:rsid w:val="2FED29FE"/>
    <w:rsid w:val="30157C6C"/>
    <w:rsid w:val="30273D1D"/>
    <w:rsid w:val="30360848"/>
    <w:rsid w:val="30393E95"/>
    <w:rsid w:val="306A4719"/>
    <w:rsid w:val="30803872"/>
    <w:rsid w:val="30894E1C"/>
    <w:rsid w:val="30ED2B9B"/>
    <w:rsid w:val="30FD7AF6"/>
    <w:rsid w:val="31197749"/>
    <w:rsid w:val="314E571E"/>
    <w:rsid w:val="31CD1BEC"/>
    <w:rsid w:val="31DE0CE5"/>
    <w:rsid w:val="31F47530"/>
    <w:rsid w:val="321E1D54"/>
    <w:rsid w:val="322C1F03"/>
    <w:rsid w:val="32650F71"/>
    <w:rsid w:val="326907CD"/>
    <w:rsid w:val="32691053"/>
    <w:rsid w:val="32A538A5"/>
    <w:rsid w:val="32A55811"/>
    <w:rsid w:val="32FE389F"/>
    <w:rsid w:val="330E360D"/>
    <w:rsid w:val="33152997"/>
    <w:rsid w:val="33263C60"/>
    <w:rsid w:val="3344502A"/>
    <w:rsid w:val="338F013D"/>
    <w:rsid w:val="33B37D2E"/>
    <w:rsid w:val="33CB12A8"/>
    <w:rsid w:val="34126ED7"/>
    <w:rsid w:val="341B3FDD"/>
    <w:rsid w:val="3423303B"/>
    <w:rsid w:val="34256C0A"/>
    <w:rsid w:val="345614B9"/>
    <w:rsid w:val="347100A1"/>
    <w:rsid w:val="3486639C"/>
    <w:rsid w:val="34BF705E"/>
    <w:rsid w:val="352620DC"/>
    <w:rsid w:val="35367B76"/>
    <w:rsid w:val="354E3F3E"/>
    <w:rsid w:val="35675000"/>
    <w:rsid w:val="35827561"/>
    <w:rsid w:val="35A25BB6"/>
    <w:rsid w:val="35A46254"/>
    <w:rsid w:val="35AC585D"/>
    <w:rsid w:val="35BD0AE1"/>
    <w:rsid w:val="35E5310F"/>
    <w:rsid w:val="36203B2D"/>
    <w:rsid w:val="3661430F"/>
    <w:rsid w:val="36981915"/>
    <w:rsid w:val="369D587E"/>
    <w:rsid w:val="36A52284"/>
    <w:rsid w:val="36B349A1"/>
    <w:rsid w:val="36CF1D5D"/>
    <w:rsid w:val="36DB7A54"/>
    <w:rsid w:val="36E26C96"/>
    <w:rsid w:val="36E92171"/>
    <w:rsid w:val="36FF1994"/>
    <w:rsid w:val="37070849"/>
    <w:rsid w:val="3707096C"/>
    <w:rsid w:val="370F3BF6"/>
    <w:rsid w:val="37427AD3"/>
    <w:rsid w:val="374B4BD9"/>
    <w:rsid w:val="377E1EC2"/>
    <w:rsid w:val="378620B5"/>
    <w:rsid w:val="37AC3D63"/>
    <w:rsid w:val="37CC21E5"/>
    <w:rsid w:val="37EB016A"/>
    <w:rsid w:val="37EE2D0A"/>
    <w:rsid w:val="37F92887"/>
    <w:rsid w:val="3825367C"/>
    <w:rsid w:val="38286FB8"/>
    <w:rsid w:val="383218F5"/>
    <w:rsid w:val="385775AE"/>
    <w:rsid w:val="387B14EE"/>
    <w:rsid w:val="38B73ED6"/>
    <w:rsid w:val="38E52A39"/>
    <w:rsid w:val="39086B81"/>
    <w:rsid w:val="39293004"/>
    <w:rsid w:val="39406294"/>
    <w:rsid w:val="395A1104"/>
    <w:rsid w:val="39785A2E"/>
    <w:rsid w:val="39882115"/>
    <w:rsid w:val="39B003B6"/>
    <w:rsid w:val="39E10D60"/>
    <w:rsid w:val="39F5707E"/>
    <w:rsid w:val="3A03179B"/>
    <w:rsid w:val="3A08344B"/>
    <w:rsid w:val="3A0D261A"/>
    <w:rsid w:val="3A8A77C7"/>
    <w:rsid w:val="3ABC687E"/>
    <w:rsid w:val="3AFE3587"/>
    <w:rsid w:val="3B2B584C"/>
    <w:rsid w:val="3B6C0B91"/>
    <w:rsid w:val="3B9308FD"/>
    <w:rsid w:val="3BA40D5C"/>
    <w:rsid w:val="3BD50F16"/>
    <w:rsid w:val="3BFC5E74"/>
    <w:rsid w:val="3C0059BB"/>
    <w:rsid w:val="3C5F3E33"/>
    <w:rsid w:val="3C905550"/>
    <w:rsid w:val="3CC64D02"/>
    <w:rsid w:val="3DA768E2"/>
    <w:rsid w:val="3DD0408A"/>
    <w:rsid w:val="3DEC0798"/>
    <w:rsid w:val="3DF37D79"/>
    <w:rsid w:val="3E2148E6"/>
    <w:rsid w:val="3E235330"/>
    <w:rsid w:val="3E3C527C"/>
    <w:rsid w:val="3E6F1E22"/>
    <w:rsid w:val="3E703177"/>
    <w:rsid w:val="3E8F3E1C"/>
    <w:rsid w:val="3E970704"/>
    <w:rsid w:val="3ECA2888"/>
    <w:rsid w:val="3ECC2AA4"/>
    <w:rsid w:val="3EF773F5"/>
    <w:rsid w:val="3F0B2EA0"/>
    <w:rsid w:val="3F1317CD"/>
    <w:rsid w:val="3F185CE9"/>
    <w:rsid w:val="3F406FEE"/>
    <w:rsid w:val="3F49401E"/>
    <w:rsid w:val="3F5E4365"/>
    <w:rsid w:val="3F76656C"/>
    <w:rsid w:val="3FE0711F"/>
    <w:rsid w:val="3FEA2868"/>
    <w:rsid w:val="4037219F"/>
    <w:rsid w:val="40B732E0"/>
    <w:rsid w:val="40C63523"/>
    <w:rsid w:val="410B7187"/>
    <w:rsid w:val="410C5AAF"/>
    <w:rsid w:val="41200E85"/>
    <w:rsid w:val="41232723"/>
    <w:rsid w:val="415470E2"/>
    <w:rsid w:val="41556814"/>
    <w:rsid w:val="4157061F"/>
    <w:rsid w:val="418A4550"/>
    <w:rsid w:val="41A37D9D"/>
    <w:rsid w:val="41AF5742"/>
    <w:rsid w:val="41BB759E"/>
    <w:rsid w:val="42415557"/>
    <w:rsid w:val="42A72EE0"/>
    <w:rsid w:val="42B740A7"/>
    <w:rsid w:val="42C817D4"/>
    <w:rsid w:val="42DA5063"/>
    <w:rsid w:val="42F167AD"/>
    <w:rsid w:val="43192030"/>
    <w:rsid w:val="43222604"/>
    <w:rsid w:val="432D2471"/>
    <w:rsid w:val="43397FDC"/>
    <w:rsid w:val="434150E2"/>
    <w:rsid w:val="434846C3"/>
    <w:rsid w:val="4353477A"/>
    <w:rsid w:val="43A318F9"/>
    <w:rsid w:val="43AA5B8C"/>
    <w:rsid w:val="43B753A5"/>
    <w:rsid w:val="43C05511"/>
    <w:rsid w:val="43E4467E"/>
    <w:rsid w:val="442A3DC9"/>
    <w:rsid w:val="444924A1"/>
    <w:rsid w:val="4469669F"/>
    <w:rsid w:val="446B6021"/>
    <w:rsid w:val="446C618F"/>
    <w:rsid w:val="4492209A"/>
    <w:rsid w:val="44C10289"/>
    <w:rsid w:val="44C4421D"/>
    <w:rsid w:val="44C63AF1"/>
    <w:rsid w:val="45336CAD"/>
    <w:rsid w:val="453E7B2C"/>
    <w:rsid w:val="454A380C"/>
    <w:rsid w:val="45A8769B"/>
    <w:rsid w:val="45AC718B"/>
    <w:rsid w:val="45FC7108"/>
    <w:rsid w:val="463B7823"/>
    <w:rsid w:val="464D5877"/>
    <w:rsid w:val="46B042F8"/>
    <w:rsid w:val="46DF70EC"/>
    <w:rsid w:val="46E75FA1"/>
    <w:rsid w:val="46FC7C9E"/>
    <w:rsid w:val="473A7BED"/>
    <w:rsid w:val="476B0980"/>
    <w:rsid w:val="477C0DDF"/>
    <w:rsid w:val="47863A67"/>
    <w:rsid w:val="478F71C4"/>
    <w:rsid w:val="479954ED"/>
    <w:rsid w:val="47D44777"/>
    <w:rsid w:val="4821786A"/>
    <w:rsid w:val="4825146D"/>
    <w:rsid w:val="485B09F4"/>
    <w:rsid w:val="48D10CB7"/>
    <w:rsid w:val="48DA0D16"/>
    <w:rsid w:val="48EC56D9"/>
    <w:rsid w:val="48FD2C92"/>
    <w:rsid w:val="490374A7"/>
    <w:rsid w:val="49153299"/>
    <w:rsid w:val="49883A6B"/>
    <w:rsid w:val="4A1B48DF"/>
    <w:rsid w:val="4A1E05B6"/>
    <w:rsid w:val="4A5676C5"/>
    <w:rsid w:val="4A6169D0"/>
    <w:rsid w:val="4A6A13C3"/>
    <w:rsid w:val="4A9D70A2"/>
    <w:rsid w:val="4AA743C5"/>
    <w:rsid w:val="4AB10DA0"/>
    <w:rsid w:val="4B014864"/>
    <w:rsid w:val="4B11183E"/>
    <w:rsid w:val="4B1355B6"/>
    <w:rsid w:val="4B2551F5"/>
    <w:rsid w:val="4B3F63AB"/>
    <w:rsid w:val="4B4A79AF"/>
    <w:rsid w:val="4B6B0F4E"/>
    <w:rsid w:val="4B8244EA"/>
    <w:rsid w:val="4B84281F"/>
    <w:rsid w:val="4B954E7C"/>
    <w:rsid w:val="4BB46D99"/>
    <w:rsid w:val="4BD20FCE"/>
    <w:rsid w:val="4C213D03"/>
    <w:rsid w:val="4C3954F1"/>
    <w:rsid w:val="4C6D68CD"/>
    <w:rsid w:val="4C7223A4"/>
    <w:rsid w:val="4C7327B1"/>
    <w:rsid w:val="4C9444D5"/>
    <w:rsid w:val="4D0B334A"/>
    <w:rsid w:val="4D3637DE"/>
    <w:rsid w:val="4D53613E"/>
    <w:rsid w:val="4D6F2111"/>
    <w:rsid w:val="4DB35167"/>
    <w:rsid w:val="4DC332C4"/>
    <w:rsid w:val="4DC72EBD"/>
    <w:rsid w:val="4DE0665B"/>
    <w:rsid w:val="4DF179C1"/>
    <w:rsid w:val="4DF3347D"/>
    <w:rsid w:val="4E196C3E"/>
    <w:rsid w:val="4E6B046C"/>
    <w:rsid w:val="4E707289"/>
    <w:rsid w:val="4E7E543D"/>
    <w:rsid w:val="4E9E4717"/>
    <w:rsid w:val="4EAA4484"/>
    <w:rsid w:val="4EE259CC"/>
    <w:rsid w:val="4EEA3D40"/>
    <w:rsid w:val="4EFB4CDF"/>
    <w:rsid w:val="4F00728A"/>
    <w:rsid w:val="4F0F42E7"/>
    <w:rsid w:val="4F134B35"/>
    <w:rsid w:val="4F1F09CE"/>
    <w:rsid w:val="4F2A1121"/>
    <w:rsid w:val="4F310701"/>
    <w:rsid w:val="4F3F6AB1"/>
    <w:rsid w:val="4F5B577E"/>
    <w:rsid w:val="4F5D071B"/>
    <w:rsid w:val="4F6C6E86"/>
    <w:rsid w:val="4F9B688F"/>
    <w:rsid w:val="4F9C3DCC"/>
    <w:rsid w:val="4FB07878"/>
    <w:rsid w:val="4FC41575"/>
    <w:rsid w:val="4FF84FB4"/>
    <w:rsid w:val="4FFA0AF3"/>
    <w:rsid w:val="50120532"/>
    <w:rsid w:val="5039786D"/>
    <w:rsid w:val="507A5E86"/>
    <w:rsid w:val="5080549C"/>
    <w:rsid w:val="50964CC0"/>
    <w:rsid w:val="50A0169A"/>
    <w:rsid w:val="50CC248F"/>
    <w:rsid w:val="50EC48E0"/>
    <w:rsid w:val="50FE0AB7"/>
    <w:rsid w:val="51736DAF"/>
    <w:rsid w:val="51AC0513"/>
    <w:rsid w:val="52065E75"/>
    <w:rsid w:val="5224204A"/>
    <w:rsid w:val="52374280"/>
    <w:rsid w:val="523B69DF"/>
    <w:rsid w:val="528D25DE"/>
    <w:rsid w:val="52C80FB1"/>
    <w:rsid w:val="52C92F68"/>
    <w:rsid w:val="52F9084C"/>
    <w:rsid w:val="53034162"/>
    <w:rsid w:val="53065A01"/>
    <w:rsid w:val="530C74BB"/>
    <w:rsid w:val="532049DD"/>
    <w:rsid w:val="53603363"/>
    <w:rsid w:val="538D3F6C"/>
    <w:rsid w:val="53C90F08"/>
    <w:rsid w:val="53CF4C12"/>
    <w:rsid w:val="53E06252"/>
    <w:rsid w:val="53FB16D5"/>
    <w:rsid w:val="5402441A"/>
    <w:rsid w:val="54087D99"/>
    <w:rsid w:val="543B100E"/>
    <w:rsid w:val="544467E1"/>
    <w:rsid w:val="544762D1"/>
    <w:rsid w:val="547A48F8"/>
    <w:rsid w:val="54A72003"/>
    <w:rsid w:val="54E83610"/>
    <w:rsid w:val="550F5041"/>
    <w:rsid w:val="55141E73"/>
    <w:rsid w:val="5520724E"/>
    <w:rsid w:val="5587107B"/>
    <w:rsid w:val="55EF09CE"/>
    <w:rsid w:val="55F12998"/>
    <w:rsid w:val="55FF18B1"/>
    <w:rsid w:val="56023921"/>
    <w:rsid w:val="56574EF1"/>
    <w:rsid w:val="565A22EB"/>
    <w:rsid w:val="567D450A"/>
    <w:rsid w:val="569E48CE"/>
    <w:rsid w:val="56BB5CB7"/>
    <w:rsid w:val="56CD0D0F"/>
    <w:rsid w:val="56DC71A4"/>
    <w:rsid w:val="56DC773A"/>
    <w:rsid w:val="57504E2F"/>
    <w:rsid w:val="578A30DC"/>
    <w:rsid w:val="5809250B"/>
    <w:rsid w:val="58226E39"/>
    <w:rsid w:val="58366D88"/>
    <w:rsid w:val="588B70D4"/>
    <w:rsid w:val="589F66DB"/>
    <w:rsid w:val="58B02697"/>
    <w:rsid w:val="58C06A33"/>
    <w:rsid w:val="58E24B57"/>
    <w:rsid w:val="591A0066"/>
    <w:rsid w:val="59281992"/>
    <w:rsid w:val="592D42A4"/>
    <w:rsid w:val="596F0ADA"/>
    <w:rsid w:val="59741916"/>
    <w:rsid w:val="59745DBA"/>
    <w:rsid w:val="597E4543"/>
    <w:rsid w:val="598A06CA"/>
    <w:rsid w:val="598E2539"/>
    <w:rsid w:val="5A1629CD"/>
    <w:rsid w:val="5A2502DA"/>
    <w:rsid w:val="5A3617D9"/>
    <w:rsid w:val="5A4968FF"/>
    <w:rsid w:val="5A4B6B1B"/>
    <w:rsid w:val="5A7F6B6C"/>
    <w:rsid w:val="5A867158"/>
    <w:rsid w:val="5AAE2C06"/>
    <w:rsid w:val="5ABC3575"/>
    <w:rsid w:val="5ADE553D"/>
    <w:rsid w:val="5AE91E90"/>
    <w:rsid w:val="5AF2343A"/>
    <w:rsid w:val="5AFB613D"/>
    <w:rsid w:val="5B24111A"/>
    <w:rsid w:val="5B435A44"/>
    <w:rsid w:val="5B884B20"/>
    <w:rsid w:val="5BB22BCA"/>
    <w:rsid w:val="5BC0556E"/>
    <w:rsid w:val="5BC81C40"/>
    <w:rsid w:val="5BFD2097"/>
    <w:rsid w:val="5C50666A"/>
    <w:rsid w:val="5C643EC4"/>
    <w:rsid w:val="5C7F1F20"/>
    <w:rsid w:val="5C835A00"/>
    <w:rsid w:val="5C936557"/>
    <w:rsid w:val="5CBF559E"/>
    <w:rsid w:val="5CF97E35"/>
    <w:rsid w:val="5D532DB4"/>
    <w:rsid w:val="5D823C66"/>
    <w:rsid w:val="5D9562FF"/>
    <w:rsid w:val="5DA327CA"/>
    <w:rsid w:val="5DB22A0D"/>
    <w:rsid w:val="5DD62B9F"/>
    <w:rsid w:val="5DEF17B3"/>
    <w:rsid w:val="5E03770C"/>
    <w:rsid w:val="5E1B4A56"/>
    <w:rsid w:val="5E3A3003"/>
    <w:rsid w:val="5E3B0C54"/>
    <w:rsid w:val="5E7E6D93"/>
    <w:rsid w:val="5E895E64"/>
    <w:rsid w:val="5E8F3317"/>
    <w:rsid w:val="5E960581"/>
    <w:rsid w:val="5EE709A4"/>
    <w:rsid w:val="5EF8303D"/>
    <w:rsid w:val="5EF86B45"/>
    <w:rsid w:val="5F100333"/>
    <w:rsid w:val="5F447FDD"/>
    <w:rsid w:val="5F4504C4"/>
    <w:rsid w:val="5F9C5723"/>
    <w:rsid w:val="5F9E76ED"/>
    <w:rsid w:val="5FB962D5"/>
    <w:rsid w:val="5FC1162D"/>
    <w:rsid w:val="5FC726C5"/>
    <w:rsid w:val="5FD74633"/>
    <w:rsid w:val="5FF76DFD"/>
    <w:rsid w:val="604D2EC1"/>
    <w:rsid w:val="6098413C"/>
    <w:rsid w:val="609B00D0"/>
    <w:rsid w:val="60B44CEE"/>
    <w:rsid w:val="60E412C0"/>
    <w:rsid w:val="6109503A"/>
    <w:rsid w:val="61416F4F"/>
    <w:rsid w:val="618B3CA1"/>
    <w:rsid w:val="61BC02FE"/>
    <w:rsid w:val="61E323AE"/>
    <w:rsid w:val="61EF2482"/>
    <w:rsid w:val="61F509FD"/>
    <w:rsid w:val="62061579"/>
    <w:rsid w:val="623331AC"/>
    <w:rsid w:val="62467BC8"/>
    <w:rsid w:val="62571DD5"/>
    <w:rsid w:val="625772C4"/>
    <w:rsid w:val="626926CD"/>
    <w:rsid w:val="62992D43"/>
    <w:rsid w:val="62A82630"/>
    <w:rsid w:val="62D84DEF"/>
    <w:rsid w:val="62F602D8"/>
    <w:rsid w:val="630261E5"/>
    <w:rsid w:val="63343EC4"/>
    <w:rsid w:val="636F3034"/>
    <w:rsid w:val="63880BF6"/>
    <w:rsid w:val="63BF5E84"/>
    <w:rsid w:val="64030466"/>
    <w:rsid w:val="64357EF4"/>
    <w:rsid w:val="647E7AED"/>
    <w:rsid w:val="64835103"/>
    <w:rsid w:val="648844C8"/>
    <w:rsid w:val="64D22CD7"/>
    <w:rsid w:val="64ED6D90"/>
    <w:rsid w:val="6504083A"/>
    <w:rsid w:val="650516A8"/>
    <w:rsid w:val="65330581"/>
    <w:rsid w:val="65444892"/>
    <w:rsid w:val="657038D9"/>
    <w:rsid w:val="65830E72"/>
    <w:rsid w:val="65C62E15"/>
    <w:rsid w:val="65E971E8"/>
    <w:rsid w:val="65F8742B"/>
    <w:rsid w:val="660A2A6B"/>
    <w:rsid w:val="663F505A"/>
    <w:rsid w:val="667747F4"/>
    <w:rsid w:val="66911D59"/>
    <w:rsid w:val="669E7FD2"/>
    <w:rsid w:val="66B141AA"/>
    <w:rsid w:val="66E81280"/>
    <w:rsid w:val="670D78F5"/>
    <w:rsid w:val="67340937"/>
    <w:rsid w:val="67A82870"/>
    <w:rsid w:val="67D16185"/>
    <w:rsid w:val="67F02AB0"/>
    <w:rsid w:val="68182006"/>
    <w:rsid w:val="68200BB4"/>
    <w:rsid w:val="68A37B22"/>
    <w:rsid w:val="68AE296F"/>
    <w:rsid w:val="69110DD3"/>
    <w:rsid w:val="691D526F"/>
    <w:rsid w:val="693D1D24"/>
    <w:rsid w:val="69676D3F"/>
    <w:rsid w:val="697E59BE"/>
    <w:rsid w:val="69935128"/>
    <w:rsid w:val="699D27C3"/>
    <w:rsid w:val="69BE4A64"/>
    <w:rsid w:val="69CC30A8"/>
    <w:rsid w:val="69CF3DD6"/>
    <w:rsid w:val="69D72179"/>
    <w:rsid w:val="69DC3B22"/>
    <w:rsid w:val="69F14CBF"/>
    <w:rsid w:val="6A2E3597"/>
    <w:rsid w:val="6A31115D"/>
    <w:rsid w:val="6A5956B7"/>
    <w:rsid w:val="6AD246EE"/>
    <w:rsid w:val="6AE34B4E"/>
    <w:rsid w:val="6B5B0B88"/>
    <w:rsid w:val="6BC77FCB"/>
    <w:rsid w:val="6BC93D43"/>
    <w:rsid w:val="6C240F7A"/>
    <w:rsid w:val="6C4D6722"/>
    <w:rsid w:val="6C5B4D4B"/>
    <w:rsid w:val="6C8D150C"/>
    <w:rsid w:val="6C9C1458"/>
    <w:rsid w:val="6CB26586"/>
    <w:rsid w:val="6CB56076"/>
    <w:rsid w:val="6CE30E35"/>
    <w:rsid w:val="6CE35249"/>
    <w:rsid w:val="6D4F64CA"/>
    <w:rsid w:val="6D5A614B"/>
    <w:rsid w:val="6D741A8D"/>
    <w:rsid w:val="6D747CDF"/>
    <w:rsid w:val="6D9E4D5C"/>
    <w:rsid w:val="6DDD5884"/>
    <w:rsid w:val="6E0C7F17"/>
    <w:rsid w:val="6E2B2A93"/>
    <w:rsid w:val="6E2C05BA"/>
    <w:rsid w:val="6E3522E8"/>
    <w:rsid w:val="6E39711A"/>
    <w:rsid w:val="6E5D69C5"/>
    <w:rsid w:val="6E7453A1"/>
    <w:rsid w:val="6E7736D4"/>
    <w:rsid w:val="6E98699D"/>
    <w:rsid w:val="6E997D6C"/>
    <w:rsid w:val="6E9A5523"/>
    <w:rsid w:val="6EC24A7A"/>
    <w:rsid w:val="6ED044E2"/>
    <w:rsid w:val="6ED06684"/>
    <w:rsid w:val="6EEF1D13"/>
    <w:rsid w:val="6EF616F6"/>
    <w:rsid w:val="6F062BB9"/>
    <w:rsid w:val="6F17534A"/>
    <w:rsid w:val="6F5778B8"/>
    <w:rsid w:val="6F5D575B"/>
    <w:rsid w:val="6F6049BF"/>
    <w:rsid w:val="6F814935"/>
    <w:rsid w:val="6F8C7562"/>
    <w:rsid w:val="6F9E1043"/>
    <w:rsid w:val="6FB87E05"/>
    <w:rsid w:val="6FCA008A"/>
    <w:rsid w:val="70001CFE"/>
    <w:rsid w:val="700B74D8"/>
    <w:rsid w:val="700F1F41"/>
    <w:rsid w:val="70683F95"/>
    <w:rsid w:val="70721D98"/>
    <w:rsid w:val="70B74870"/>
    <w:rsid w:val="70C04FE9"/>
    <w:rsid w:val="70EF0F1F"/>
    <w:rsid w:val="70FB2903"/>
    <w:rsid w:val="711C66C3"/>
    <w:rsid w:val="712F0BF3"/>
    <w:rsid w:val="713003C1"/>
    <w:rsid w:val="71467526"/>
    <w:rsid w:val="71A566B9"/>
    <w:rsid w:val="720930EC"/>
    <w:rsid w:val="729D1A86"/>
    <w:rsid w:val="72DB610A"/>
    <w:rsid w:val="72FA2A34"/>
    <w:rsid w:val="736B1B84"/>
    <w:rsid w:val="737259EB"/>
    <w:rsid w:val="740578E3"/>
    <w:rsid w:val="74245119"/>
    <w:rsid w:val="74793E2D"/>
    <w:rsid w:val="74AB66DC"/>
    <w:rsid w:val="74B135C7"/>
    <w:rsid w:val="74FC2405"/>
    <w:rsid w:val="754058DD"/>
    <w:rsid w:val="75556648"/>
    <w:rsid w:val="756643B1"/>
    <w:rsid w:val="76037E52"/>
    <w:rsid w:val="762C11D6"/>
    <w:rsid w:val="76500BBD"/>
    <w:rsid w:val="76571F4C"/>
    <w:rsid w:val="76684159"/>
    <w:rsid w:val="7682346D"/>
    <w:rsid w:val="769B452E"/>
    <w:rsid w:val="769E19A0"/>
    <w:rsid w:val="76A333E3"/>
    <w:rsid w:val="76E539FB"/>
    <w:rsid w:val="770C71DA"/>
    <w:rsid w:val="771A04F8"/>
    <w:rsid w:val="773C7ABF"/>
    <w:rsid w:val="776B2153"/>
    <w:rsid w:val="776E1C43"/>
    <w:rsid w:val="778356EE"/>
    <w:rsid w:val="77860D3A"/>
    <w:rsid w:val="78191D9D"/>
    <w:rsid w:val="782C7B34"/>
    <w:rsid w:val="782F3180"/>
    <w:rsid w:val="784A4B73"/>
    <w:rsid w:val="784D3606"/>
    <w:rsid w:val="785F0A27"/>
    <w:rsid w:val="786924FD"/>
    <w:rsid w:val="78C740DC"/>
    <w:rsid w:val="78CC09CF"/>
    <w:rsid w:val="78E91BB8"/>
    <w:rsid w:val="78F85C68"/>
    <w:rsid w:val="79433AC6"/>
    <w:rsid w:val="797C5F80"/>
    <w:rsid w:val="79815C5D"/>
    <w:rsid w:val="798219D5"/>
    <w:rsid w:val="79935991"/>
    <w:rsid w:val="79955265"/>
    <w:rsid w:val="799B26EC"/>
    <w:rsid w:val="79B871A5"/>
    <w:rsid w:val="79D4536F"/>
    <w:rsid w:val="79EB757B"/>
    <w:rsid w:val="79FE72AE"/>
    <w:rsid w:val="7A016D9E"/>
    <w:rsid w:val="7A083C89"/>
    <w:rsid w:val="7A1000E9"/>
    <w:rsid w:val="7A4016CB"/>
    <w:rsid w:val="7A5B3FA8"/>
    <w:rsid w:val="7A680BCB"/>
    <w:rsid w:val="7A7B26AD"/>
    <w:rsid w:val="7A835A05"/>
    <w:rsid w:val="7A8A6D94"/>
    <w:rsid w:val="7A995229"/>
    <w:rsid w:val="7AA87B97"/>
    <w:rsid w:val="7AB91427"/>
    <w:rsid w:val="7ACA7190"/>
    <w:rsid w:val="7AF31360"/>
    <w:rsid w:val="7B002BB2"/>
    <w:rsid w:val="7B1F572E"/>
    <w:rsid w:val="7B2F16E9"/>
    <w:rsid w:val="7B42141C"/>
    <w:rsid w:val="7B8D1547"/>
    <w:rsid w:val="7B8E3C79"/>
    <w:rsid w:val="7BA174E1"/>
    <w:rsid w:val="7BC04FC3"/>
    <w:rsid w:val="7BC14DBE"/>
    <w:rsid w:val="7C2261AB"/>
    <w:rsid w:val="7C354ADD"/>
    <w:rsid w:val="7C386AE4"/>
    <w:rsid w:val="7C396335"/>
    <w:rsid w:val="7C482A62"/>
    <w:rsid w:val="7C5F7DAC"/>
    <w:rsid w:val="7C6158D2"/>
    <w:rsid w:val="7C815F74"/>
    <w:rsid w:val="7C947A56"/>
    <w:rsid w:val="7CA53A11"/>
    <w:rsid w:val="7CA72746"/>
    <w:rsid w:val="7CB73744"/>
    <w:rsid w:val="7CCD2D63"/>
    <w:rsid w:val="7CFE1373"/>
    <w:rsid w:val="7D0C1CE2"/>
    <w:rsid w:val="7D172435"/>
    <w:rsid w:val="7D2633D6"/>
    <w:rsid w:val="7D593C57"/>
    <w:rsid w:val="7D9B4E14"/>
    <w:rsid w:val="7DC33C3F"/>
    <w:rsid w:val="7DC46119"/>
    <w:rsid w:val="7DDB3462"/>
    <w:rsid w:val="7DE7105B"/>
    <w:rsid w:val="7DF05160"/>
    <w:rsid w:val="7DF85F10"/>
    <w:rsid w:val="7E1D1CCD"/>
    <w:rsid w:val="7E3322A7"/>
    <w:rsid w:val="7E437985"/>
    <w:rsid w:val="7E9975A5"/>
    <w:rsid w:val="7EA81A90"/>
    <w:rsid w:val="7EB77A2B"/>
    <w:rsid w:val="7EC34622"/>
    <w:rsid w:val="7EEB0B24"/>
    <w:rsid w:val="7F2B14FE"/>
    <w:rsid w:val="7F3E1EFB"/>
    <w:rsid w:val="7F99469F"/>
    <w:rsid w:val="7FC468A4"/>
    <w:rsid w:val="7FF7082F"/>
    <w:rsid w:val="BBF9EC6A"/>
    <w:rsid w:val="FAFEB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宋体" w:cs="@仿宋_GB2312"/>
      <w:kern w:val="2"/>
      <w:sz w:val="21"/>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3"/>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8"/>
    <w:qFormat/>
    <w:uiPriority w:val="0"/>
    <w:pPr>
      <w:keepNext/>
      <w:keepLines/>
      <w:spacing w:before="280" w:after="290" w:line="376" w:lineRule="auto"/>
      <w:outlineLvl w:val="3"/>
    </w:pPr>
    <w:rPr>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60"/>
    <w:qFormat/>
    <w:uiPriority w:val="0"/>
    <w:pPr>
      <w:jc w:val="left"/>
    </w:pPr>
    <w:rPr>
      <w:rFonts w:ascii="Arial" w:hAnsi="Arial" w:eastAsia="黑体" w:cs="Arial"/>
    </w:rPr>
  </w:style>
  <w:style w:type="paragraph" w:styleId="8">
    <w:name w:val="Body Text"/>
    <w:basedOn w:val="1"/>
    <w:next w:val="9"/>
    <w:link w:val="69"/>
    <w:qFormat/>
    <w:uiPriority w:val="0"/>
    <w:pPr>
      <w:spacing w:after="120"/>
    </w:pPr>
    <w:rPr>
      <w:rFonts w:ascii="@微软简标宋" w:hAnsi="@微软简标宋" w:eastAsia="@微软简标宋" w:cs="@微软简标宋"/>
      <w:szCs w:val="24"/>
      <w:lang w:val="zh-CN"/>
    </w:rPr>
  </w:style>
  <w:style w:type="paragraph" w:styleId="9">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0">
    <w:name w:val="Body Text Indent"/>
    <w:basedOn w:val="1"/>
    <w:next w:val="11"/>
    <w:qFormat/>
    <w:uiPriority w:val="0"/>
    <w:pPr>
      <w:ind w:firstLine="540"/>
    </w:pPr>
    <w:rPr>
      <w:rFonts w:eastAsia="仿宋_GB2312"/>
      <w:sz w:val="28"/>
    </w:rPr>
  </w:style>
  <w:style w:type="paragraph" w:styleId="11">
    <w:name w:val="envelope return"/>
    <w:basedOn w:val="1"/>
    <w:qFormat/>
    <w:uiPriority w:val="0"/>
    <w:pPr>
      <w:snapToGrid w:val="0"/>
    </w:pPr>
    <w:rPr>
      <w:rFonts w:ascii="Arial" w:hAnsi="Arial"/>
    </w:rPr>
  </w:style>
  <w:style w:type="paragraph" w:styleId="12">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9"/>
    <w:qFormat/>
    <w:uiPriority w:val="99"/>
    <w:rPr>
      <w:rFonts w:ascii="宋体" w:hAnsi="Courier New" w:eastAsiaTheme="minorEastAsia" w:cstheme="minorBidi"/>
      <w:szCs w:val="22"/>
    </w:rPr>
  </w:style>
  <w:style w:type="paragraph" w:styleId="14">
    <w:name w:val="Date"/>
    <w:basedOn w:val="1"/>
    <w:next w:val="1"/>
    <w:link w:val="56"/>
    <w:qFormat/>
    <w:uiPriority w:val="0"/>
    <w:rPr>
      <w:rFonts w:ascii="Arial" w:hAnsi="Arial" w:eastAsia="宋体" w:cs="Arial"/>
      <w:b/>
      <w:sz w:val="28"/>
    </w:rPr>
  </w:style>
  <w:style w:type="paragraph" w:styleId="15">
    <w:name w:val="Balloon Text"/>
    <w:basedOn w:val="1"/>
    <w:link w:val="43"/>
    <w:semiHidden/>
    <w:unhideWhenUsed/>
    <w:qFormat/>
    <w:uiPriority w:val="99"/>
    <w:rPr>
      <w:sz w:val="18"/>
      <w:szCs w:val="18"/>
    </w:rPr>
  </w:style>
  <w:style w:type="paragraph" w:styleId="16">
    <w:name w:val="footer"/>
    <w:basedOn w:val="1"/>
    <w:link w:val="48"/>
    <w:unhideWhenUsed/>
    <w:qFormat/>
    <w:uiPriority w:val="99"/>
    <w:pPr>
      <w:tabs>
        <w:tab w:val="center" w:pos="4153"/>
        <w:tab w:val="right" w:pos="8306"/>
      </w:tabs>
      <w:snapToGrid w:val="0"/>
      <w:jc w:val="left"/>
    </w:pPr>
    <w:rPr>
      <w:sz w:val="18"/>
      <w:szCs w:val="18"/>
    </w:rPr>
  </w:style>
  <w:style w:type="paragraph" w:styleId="17">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9">
    <w:name w:val="List"/>
    <w:basedOn w:val="1"/>
    <w:qFormat/>
    <w:uiPriority w:val="0"/>
    <w:pPr>
      <w:widowControl w:val="0"/>
      <w:ind w:left="200" w:hanging="200" w:hangingChars="200"/>
      <w:jc w:val="both"/>
    </w:pPr>
    <w:rPr>
      <w:rFonts w:ascii="Calibri" w:hAnsi="Calibri" w:eastAsia="宋体" w:cs="Times New Roman"/>
      <w:kern w:val="2"/>
      <w:sz w:val="21"/>
      <w:szCs w:val="22"/>
      <w:lang w:val="en-US" w:eastAsia="zh-CN" w:bidi="ar-SA"/>
    </w:rPr>
  </w:style>
  <w:style w:type="paragraph" w:styleId="20">
    <w:name w:val="Normal (Web)"/>
    <w:basedOn w:val="1"/>
    <w:qFormat/>
    <w:uiPriority w:val="0"/>
    <w:pPr>
      <w:spacing w:before="100" w:beforeAutospacing="1" w:after="100" w:afterAutospacing="1"/>
      <w:jc w:val="left"/>
    </w:pPr>
    <w:rPr>
      <w:rFonts w:cs="Times New Roman"/>
      <w:kern w:val="0"/>
      <w:sz w:val="24"/>
    </w:rPr>
  </w:style>
  <w:style w:type="paragraph" w:styleId="21">
    <w:name w:val="index 1"/>
    <w:basedOn w:val="1"/>
    <w:next w:val="1"/>
    <w:qFormat/>
    <w:uiPriority w:val="0"/>
    <w:pPr>
      <w:jc w:val="center"/>
    </w:pPr>
    <w:rPr>
      <w:rFonts w:ascii="Arial" w:hAnsi="Arial" w:eastAsia="Arial" w:cs="Arial"/>
      <w:b/>
      <w:bCs/>
      <w:sz w:val="28"/>
    </w:rPr>
  </w:style>
  <w:style w:type="paragraph" w:styleId="22">
    <w:name w:val="Body Text First Indent"/>
    <w:basedOn w:val="8"/>
    <w:unhideWhenUsed/>
    <w:qFormat/>
    <w:uiPriority w:val="99"/>
    <w:pPr>
      <w:ind w:firstLine="420" w:firstLineChars="100"/>
    </w:pPr>
  </w:style>
  <w:style w:type="paragraph" w:styleId="23">
    <w:name w:val="Body Text First Indent 2"/>
    <w:basedOn w:val="10"/>
    <w:next w:val="19"/>
    <w:unhideWhenUsed/>
    <w:qFormat/>
    <w:uiPriority w:val="99"/>
    <w:pPr>
      <w:spacing w:after="120"/>
      <w:ind w:left="420" w:leftChars="200" w:firstLine="420" w:firstLineChars="200"/>
    </w:pPr>
    <w:rPr>
      <w:sz w:val="21"/>
    </w:rPr>
  </w:style>
  <w:style w:type="table" w:styleId="25">
    <w:name w:val="Table Grid"/>
    <w:basedOn w:val="24"/>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bCs/>
    </w:rPr>
  </w:style>
  <w:style w:type="character" w:styleId="28">
    <w:name w:val="FollowedHyperlink"/>
    <w:basedOn w:val="26"/>
    <w:semiHidden/>
    <w:unhideWhenUsed/>
    <w:qFormat/>
    <w:uiPriority w:val="99"/>
    <w:rPr>
      <w:color w:val="800080"/>
      <w:u w:val="none"/>
    </w:rPr>
  </w:style>
  <w:style w:type="character" w:styleId="29">
    <w:name w:val="Emphasis"/>
    <w:basedOn w:val="26"/>
    <w:qFormat/>
    <w:uiPriority w:val="20"/>
    <w:rPr>
      <w:b/>
      <w:bCs/>
    </w:rPr>
  </w:style>
  <w:style w:type="character" w:styleId="30">
    <w:name w:val="HTML Definition"/>
    <w:basedOn w:val="26"/>
    <w:semiHidden/>
    <w:unhideWhenUsed/>
    <w:qFormat/>
    <w:uiPriority w:val="99"/>
  </w:style>
  <w:style w:type="character" w:styleId="31">
    <w:name w:val="HTML Typewriter"/>
    <w:basedOn w:val="26"/>
    <w:semiHidden/>
    <w:unhideWhenUsed/>
    <w:qFormat/>
    <w:uiPriority w:val="99"/>
    <w:rPr>
      <w:rFonts w:hint="default" w:ascii="monospace" w:hAnsi="monospace" w:eastAsia="monospace" w:cs="monospace"/>
      <w:sz w:val="20"/>
    </w:rPr>
  </w:style>
  <w:style w:type="character" w:styleId="32">
    <w:name w:val="HTML Acronym"/>
    <w:basedOn w:val="26"/>
    <w:semiHidden/>
    <w:unhideWhenUsed/>
    <w:qFormat/>
    <w:uiPriority w:val="99"/>
  </w:style>
  <w:style w:type="character" w:styleId="33">
    <w:name w:val="HTML Variable"/>
    <w:basedOn w:val="26"/>
    <w:semiHidden/>
    <w:unhideWhenUsed/>
    <w:qFormat/>
    <w:uiPriority w:val="99"/>
  </w:style>
  <w:style w:type="character" w:styleId="34">
    <w:name w:val="Hyperlink"/>
    <w:basedOn w:val="26"/>
    <w:unhideWhenUsed/>
    <w:qFormat/>
    <w:uiPriority w:val="99"/>
    <w:rPr>
      <w:color w:val="0000FF" w:themeColor="hyperlink"/>
      <w:u w:val="single"/>
      <w14:textFill>
        <w14:solidFill>
          <w14:schemeClr w14:val="hlink"/>
        </w14:solidFill>
      </w14:textFill>
    </w:rPr>
  </w:style>
  <w:style w:type="character" w:styleId="35">
    <w:name w:val="HTML Code"/>
    <w:basedOn w:val="26"/>
    <w:semiHidden/>
    <w:unhideWhenUsed/>
    <w:qFormat/>
    <w:uiPriority w:val="99"/>
    <w:rPr>
      <w:rFonts w:ascii="monospace" w:hAnsi="monospace" w:eastAsia="monospace" w:cs="monospace"/>
      <w:sz w:val="20"/>
    </w:rPr>
  </w:style>
  <w:style w:type="character" w:styleId="36">
    <w:name w:val="HTML Cite"/>
    <w:basedOn w:val="26"/>
    <w:semiHidden/>
    <w:unhideWhenUsed/>
    <w:qFormat/>
    <w:uiPriority w:val="99"/>
  </w:style>
  <w:style w:type="character" w:styleId="37">
    <w:name w:val="HTML Keyboard"/>
    <w:basedOn w:val="26"/>
    <w:semiHidden/>
    <w:unhideWhenUsed/>
    <w:qFormat/>
    <w:uiPriority w:val="99"/>
    <w:rPr>
      <w:rFonts w:hint="default" w:ascii="monospace" w:hAnsi="monospace" w:eastAsia="monospace" w:cs="monospace"/>
      <w:sz w:val="20"/>
    </w:rPr>
  </w:style>
  <w:style w:type="character" w:styleId="38">
    <w:name w:val="HTML Sample"/>
    <w:basedOn w:val="26"/>
    <w:semiHidden/>
    <w:unhideWhenUsed/>
    <w:qFormat/>
    <w:uiPriority w:val="99"/>
    <w:rPr>
      <w:rFonts w:hint="default" w:ascii="monospace" w:hAnsi="monospace" w:eastAsia="monospace" w:cs="monospace"/>
    </w:rPr>
  </w:style>
  <w:style w:type="paragraph" w:customStyle="1" w:styleId="39">
    <w:name w:val="目录 71"/>
    <w:basedOn w:val="1"/>
    <w:next w:val="1"/>
    <w:qFormat/>
    <w:uiPriority w:val="0"/>
    <w:pPr>
      <w:ind w:left="2520"/>
    </w:pPr>
    <w:rPr>
      <w:rFonts w:ascii="Calibri"/>
    </w:rPr>
  </w:style>
  <w:style w:type="paragraph" w:customStyle="1" w:styleId="40">
    <w:name w:val="style4"/>
    <w:basedOn w:val="1"/>
    <w:next w:val="41"/>
    <w:qFormat/>
    <w:uiPriority w:val="0"/>
    <w:pPr>
      <w:widowControl/>
      <w:spacing w:before="280" w:after="280"/>
    </w:pPr>
    <w:rPr>
      <w:rFonts w:ascii="宋体"/>
      <w:sz w:val="18"/>
    </w:rPr>
  </w:style>
  <w:style w:type="paragraph" w:customStyle="1" w:styleId="41">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42">
    <w:name w:val="Default"/>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character" w:customStyle="1" w:styleId="43">
    <w:name w:val="批注框文本 字符"/>
    <w:basedOn w:val="26"/>
    <w:link w:val="15"/>
    <w:semiHidden/>
    <w:qFormat/>
    <w:uiPriority w:val="99"/>
    <w:rPr>
      <w:rFonts w:ascii="@仿宋_GB2312" w:hAnsi="@仿宋_GB2312" w:eastAsia="@仿宋_GB2312" w:cs="@仿宋_GB2312"/>
      <w:sz w:val="18"/>
      <w:szCs w:val="18"/>
    </w:rPr>
  </w:style>
  <w:style w:type="paragraph" w:customStyle="1" w:styleId="44">
    <w:name w:val="正文（缩进）"/>
    <w:basedOn w:val="1"/>
    <w:qFormat/>
    <w:uiPriority w:val="0"/>
    <w:pPr>
      <w:widowControl/>
      <w:spacing w:before="156" w:after="156"/>
      <w:ind w:firstLine="480" w:firstLineChars="200"/>
      <w:jc w:val="left"/>
    </w:pPr>
    <w:rPr>
      <w:kern w:val="0"/>
      <w:sz w:val="24"/>
      <w:szCs w:val="24"/>
    </w:rPr>
  </w:style>
  <w:style w:type="paragraph" w:customStyle="1" w:styleId="45">
    <w:name w:val="xl31"/>
    <w:basedOn w:val="1"/>
    <w:qFormat/>
    <w:uiPriority w:val="0"/>
    <w:pPr>
      <w:widowControl/>
      <w:spacing w:before="100" w:beforeAutospacing="1" w:after="100" w:afterAutospacing="1"/>
      <w:jc w:val="center"/>
    </w:pPr>
    <w:rPr>
      <w:b/>
      <w:bCs/>
      <w:kern w:val="0"/>
      <w:sz w:val="28"/>
      <w:szCs w:val="28"/>
    </w:rPr>
  </w:style>
  <w:style w:type="paragraph" w:customStyle="1" w:styleId="46">
    <w:name w:val="D&amp;L"/>
    <w:basedOn w:val="17"/>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字符"/>
    <w:basedOn w:val="26"/>
    <w:link w:val="17"/>
    <w:qFormat/>
    <w:uiPriority w:val="0"/>
    <w:rPr>
      <w:rFonts w:ascii="@仿宋_GB2312" w:hAnsi="@仿宋_GB2312" w:eastAsia="@仿宋_GB2312" w:cs="@仿宋_GB2312"/>
      <w:sz w:val="18"/>
      <w:szCs w:val="18"/>
    </w:rPr>
  </w:style>
  <w:style w:type="character" w:customStyle="1" w:styleId="48">
    <w:name w:val="页脚 字符"/>
    <w:basedOn w:val="26"/>
    <w:link w:val="16"/>
    <w:qFormat/>
    <w:uiPriority w:val="99"/>
    <w:rPr>
      <w:rFonts w:ascii="@仿宋_GB2312" w:hAnsi="@仿宋_GB2312" w:eastAsia="@仿宋_GB2312" w:cs="@仿宋_GB2312"/>
      <w:sz w:val="18"/>
      <w:szCs w:val="18"/>
    </w:rPr>
  </w:style>
  <w:style w:type="character" w:customStyle="1" w:styleId="49">
    <w:name w:val="纯文本 字符"/>
    <w:link w:val="13"/>
    <w:qFormat/>
    <w:uiPriority w:val="0"/>
    <w:rPr>
      <w:rFonts w:ascii="宋体" w:hAnsi="Courier New"/>
    </w:rPr>
  </w:style>
  <w:style w:type="character" w:customStyle="1" w:styleId="50">
    <w:name w:val="纯文本 字符1"/>
    <w:basedOn w:val="26"/>
    <w:semiHidden/>
    <w:qFormat/>
    <w:uiPriority w:val="99"/>
    <w:rPr>
      <w:rFonts w:hAnsi="Courier New" w:cs="Courier New" w:asciiTheme="minorEastAsia"/>
      <w:szCs w:val="20"/>
    </w:rPr>
  </w:style>
  <w:style w:type="character" w:customStyle="1" w:styleId="51">
    <w:name w:val="未处理的提及1"/>
    <w:basedOn w:val="26"/>
    <w:semiHidden/>
    <w:unhideWhenUsed/>
    <w:qFormat/>
    <w:uiPriority w:val="99"/>
    <w:rPr>
      <w:color w:val="605E5C"/>
      <w:shd w:val="clear" w:color="auto" w:fill="E1DFDD"/>
    </w:rPr>
  </w:style>
  <w:style w:type="paragraph" w:styleId="52">
    <w:name w:val="List Paragraph"/>
    <w:basedOn w:val="1"/>
    <w:qFormat/>
    <w:uiPriority w:val="34"/>
    <w:pPr>
      <w:ind w:firstLine="420" w:firstLineChars="200"/>
    </w:pPr>
  </w:style>
  <w:style w:type="paragraph" w:customStyle="1" w:styleId="53">
    <w:name w:val="Char Char Char Char Char Char Char1 Char"/>
    <w:basedOn w:val="1"/>
    <w:qFormat/>
    <w:uiPriority w:val="0"/>
    <w:rPr>
      <w:rFonts w:ascii="Arial" w:hAnsi="Arial" w:eastAsia="宋体" w:cs="Arial"/>
      <w:sz w:val="24"/>
    </w:rPr>
  </w:style>
  <w:style w:type="table" w:customStyle="1" w:styleId="54">
    <w:name w:val="网格表 1 浅色1"/>
    <w:basedOn w:val="24"/>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6"/>
    <w:semiHidden/>
    <w:qFormat/>
    <w:uiPriority w:val="99"/>
    <w:rPr>
      <w:rFonts w:ascii="@仿宋_GB2312" w:hAnsi="@仿宋_GB2312" w:eastAsia="@仿宋_GB2312" w:cs="@仿宋_GB2312"/>
      <w:szCs w:val="20"/>
    </w:rPr>
  </w:style>
  <w:style w:type="character" w:customStyle="1" w:styleId="56">
    <w:name w:val="日期 字符1"/>
    <w:link w:val="14"/>
    <w:qFormat/>
    <w:uiPriority w:val="0"/>
    <w:rPr>
      <w:rFonts w:ascii="Arial" w:hAnsi="Arial" w:eastAsia="宋体" w:cs="Arial"/>
      <w:b/>
      <w:sz w:val="28"/>
      <w:szCs w:val="20"/>
    </w:rPr>
  </w:style>
  <w:style w:type="character" w:customStyle="1" w:styleId="57">
    <w:name w:val="纯文本 Char1"/>
    <w:link w:val="58"/>
    <w:qFormat/>
    <w:locked/>
    <w:uiPriority w:val="0"/>
    <w:rPr>
      <w:rFonts w:ascii="Arial" w:hAnsi="Arial" w:eastAsia="Arial"/>
      <w:kern w:val="2"/>
      <w:sz w:val="21"/>
      <w:lang w:val="en-US" w:eastAsia="zh-CN" w:bidi="ar-SA"/>
    </w:rPr>
  </w:style>
  <w:style w:type="paragraph" w:customStyle="1" w:styleId="58">
    <w:name w:val="纯文本1"/>
    <w:basedOn w:val="1"/>
    <w:link w:val="57"/>
    <w:qFormat/>
    <w:uiPriority w:val="0"/>
    <w:rPr>
      <w:rFonts w:ascii="Arial" w:hAnsi="Arial" w:eastAsia="Arial" w:cstheme="minorBidi"/>
    </w:rPr>
  </w:style>
  <w:style w:type="character" w:customStyle="1" w:styleId="59">
    <w:name w:val="批注文字 Char"/>
    <w:basedOn w:val="26"/>
    <w:semiHidden/>
    <w:qFormat/>
    <w:uiPriority w:val="99"/>
    <w:rPr>
      <w:rFonts w:ascii="@仿宋_GB2312" w:hAnsi="@仿宋_GB2312" w:eastAsia="@仿宋_GB2312" w:cs="@仿宋_GB2312"/>
      <w:szCs w:val="20"/>
    </w:rPr>
  </w:style>
  <w:style w:type="character" w:customStyle="1" w:styleId="60">
    <w:name w:val="批注文字 字符"/>
    <w:link w:val="7"/>
    <w:qFormat/>
    <w:uiPriority w:val="0"/>
    <w:rPr>
      <w:rFonts w:ascii="Arial" w:hAnsi="Arial" w:eastAsia="黑体" w:cs="Arial"/>
      <w:szCs w:val="20"/>
    </w:rPr>
  </w:style>
  <w:style w:type="character" w:customStyle="1" w:styleId="61">
    <w:name w:val="标题 1 字符"/>
    <w:basedOn w:val="26"/>
    <w:link w:val="2"/>
    <w:qFormat/>
    <w:uiPriority w:val="9"/>
    <w:rPr>
      <w:rFonts w:ascii="@仿宋_GB2312" w:hAnsi="@仿宋_GB2312" w:eastAsia="@仿宋_GB2312" w:cs="@仿宋_GB2312"/>
      <w:b/>
      <w:bCs/>
      <w:kern w:val="44"/>
      <w:sz w:val="44"/>
      <w:szCs w:val="44"/>
    </w:rPr>
  </w:style>
  <w:style w:type="paragraph" w:customStyle="1" w:styleId="6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字符"/>
    <w:basedOn w:val="26"/>
    <w:link w:val="4"/>
    <w:semiHidden/>
    <w:qFormat/>
    <w:uiPriority w:val="9"/>
    <w:rPr>
      <w:rFonts w:ascii="@仿宋_GB2312" w:hAnsi="@仿宋_GB2312" w:eastAsia="@仿宋_GB2312" w:cs="@仿宋_GB2312"/>
      <w:b/>
      <w:bCs/>
      <w:sz w:val="32"/>
      <w:szCs w:val="32"/>
    </w:rPr>
  </w:style>
  <w:style w:type="character" w:customStyle="1" w:styleId="64">
    <w:name w:val="fontstyle01"/>
    <w:basedOn w:val="26"/>
    <w:qFormat/>
    <w:uiPriority w:val="0"/>
    <w:rPr>
      <w:rFonts w:hint="eastAsia" w:ascii="宋体" w:hAnsi="宋体" w:eastAsia="宋体"/>
      <w:color w:val="000000"/>
      <w:sz w:val="22"/>
      <w:szCs w:val="22"/>
    </w:rPr>
  </w:style>
  <w:style w:type="character" w:customStyle="1" w:styleId="65">
    <w:name w:val="fontstyle21"/>
    <w:basedOn w:val="26"/>
    <w:qFormat/>
    <w:uiPriority w:val="0"/>
    <w:rPr>
      <w:rFonts w:hint="default" w:ascii="TimesNewRomanPSMT" w:hAnsi="TimesNewRomanPSMT"/>
      <w:color w:val="000000"/>
      <w:sz w:val="22"/>
      <w:szCs w:val="22"/>
    </w:rPr>
  </w:style>
  <w:style w:type="character" w:customStyle="1" w:styleId="66">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26"/>
    <w:semiHidden/>
    <w:qFormat/>
    <w:uiPriority w:val="9"/>
    <w:rPr>
      <w:rFonts w:asciiTheme="majorHAnsi" w:hAnsiTheme="majorHAnsi" w:eastAsiaTheme="majorEastAsia" w:cstheme="majorBidi"/>
      <w:b/>
      <w:bCs/>
      <w:sz w:val="28"/>
      <w:szCs w:val="28"/>
    </w:rPr>
  </w:style>
  <w:style w:type="character" w:customStyle="1" w:styleId="68">
    <w:name w:val="标题 4 字符1"/>
    <w:link w:val="5"/>
    <w:qFormat/>
    <w:uiPriority w:val="0"/>
    <w:rPr>
      <w:rFonts w:ascii="@仿宋_GB2312" w:hAnsi="@仿宋_GB2312" w:eastAsia="@仿宋_GB2312" w:cs="@仿宋_GB2312"/>
      <w:b/>
      <w:bCs/>
      <w:sz w:val="28"/>
      <w:szCs w:val="28"/>
    </w:rPr>
  </w:style>
  <w:style w:type="character" w:customStyle="1" w:styleId="69">
    <w:name w:val="正文文本 字符"/>
    <w:basedOn w:val="26"/>
    <w:link w:val="8"/>
    <w:qFormat/>
    <w:uiPriority w:val="0"/>
    <w:rPr>
      <w:rFonts w:ascii="@微软简标宋" w:hAnsi="@微软简标宋" w:eastAsia="@微软简标宋" w:cs="@微软简标宋"/>
      <w:szCs w:val="24"/>
      <w:lang w:val="zh-CN" w:eastAsia="zh-CN"/>
    </w:rPr>
  </w:style>
  <w:style w:type="table" w:customStyle="1" w:styleId="70">
    <w:name w:val="网格型1"/>
    <w:basedOn w:val="24"/>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
    <w:name w:val="Table Normal"/>
    <w:semiHidden/>
    <w:unhideWhenUsed/>
    <w:qFormat/>
    <w:uiPriority w:val="0"/>
    <w:tblPr>
      <w:tblCellMar>
        <w:top w:w="0" w:type="dxa"/>
        <w:left w:w="0" w:type="dxa"/>
        <w:bottom w:w="0" w:type="dxa"/>
        <w:right w:w="0" w:type="dxa"/>
      </w:tblCellMar>
    </w:tblPr>
  </w:style>
  <w:style w:type="paragraph" w:customStyle="1" w:styleId="72">
    <w:name w:val="Table Text"/>
    <w:basedOn w:val="1"/>
    <w:semiHidden/>
    <w:qFormat/>
    <w:uiPriority w:val="0"/>
    <w:rPr>
      <w:rFonts w:ascii="Arial" w:hAnsi="Arial" w:eastAsia="Arial" w:cs="Arial"/>
      <w:szCs w:val="21"/>
      <w:lang w:eastAsia="en-US"/>
    </w:rPr>
  </w:style>
  <w:style w:type="paragraph" w:customStyle="1" w:styleId="73">
    <w:name w:val="无间隔1"/>
    <w:qFormat/>
    <w:uiPriority w:val="0"/>
    <w:pPr>
      <w:widowControl w:val="0"/>
      <w:jc w:val="both"/>
    </w:pPr>
    <w:rPr>
      <w:rFonts w:ascii="Calibri" w:hAnsi="Calibri" w:eastAsia="宋体" w:cs="Times New Roman"/>
      <w:kern w:val="2"/>
      <w:sz w:val="21"/>
      <w:szCs w:val="24"/>
      <w:lang w:val="en-US" w:eastAsia="zh-CN" w:bidi="ar-SA"/>
    </w:rPr>
  </w:style>
  <w:style w:type="paragraph" w:customStyle="1" w:styleId="74">
    <w:name w:val="*正文"/>
    <w:basedOn w:val="1"/>
    <w:qFormat/>
    <w:uiPriority w:val="0"/>
    <w:pPr>
      <w:widowControl w:val="0"/>
      <w:adjustRightInd/>
      <w:snapToGrid/>
      <w:ind w:firstLine="200" w:firstLineChars="200"/>
    </w:pPr>
    <w:rPr>
      <w:rFonts w:ascii="Times New Roman" w:hAnsi="Times New Roman" w:eastAsia="仿宋"/>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58</Pages>
  <Words>70</Words>
  <Characters>85</Characters>
  <Lines>237</Lines>
  <Paragraphs>66</Paragraphs>
  <TotalTime>0</TotalTime>
  <ScaleCrop>false</ScaleCrop>
  <LinksUpToDate>false</LinksUpToDate>
  <CharactersWithSpaces>87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2019-05-07T06:32:00Z</dcterms:created>
  <dc:creator>Anakin</dc:creator>
  <cp:lastModifiedBy>admin</cp:lastModifiedBy>
  <cp:lastPrinted>2019-12-08T07:20:00Z</cp:lastPrinted>
  <dcterms:modified xsi:type="dcterms:W3CDTF">2026-10-10T08:07:21Z</dcterms:modified>
  <cp:revision>444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DCB22F11021AEFD3B981C96A9B808420_43</vt:lpwstr>
  </property>
  <property fmtid="{D5CDD505-2E9C-101B-9397-08002B2CF9AE}" pid="4" name="KSOTemplateDocerSaveRecord">
    <vt:lpwstr>eyJoZGlkIjoiYWQzNTY3ZWRhOWRmN2U0NTQ1OWYxYmU1MWZlOTg1OWEiLCJ1c2VySWQiOiI2OTgwNzMxNDkifQ==</vt:lpwstr>
  </property>
</Properties>
</file>