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BE33C0">
      <w:pPr>
        <w:pageBreakBefore w:val="0"/>
        <w:tabs>
          <w:tab w:val="left" w:pos="2410"/>
        </w:tabs>
        <w:kinsoku/>
        <w:overflowPunct/>
        <w:topLinePunct w:val="0"/>
        <w:autoSpaceDE w:val="0"/>
        <w:autoSpaceDN w:val="0"/>
        <w:bidi w:val="0"/>
        <w:adjustRightInd w:val="0"/>
        <w:snapToGrid w:val="0"/>
        <w:spacing w:line="360" w:lineRule="auto"/>
        <w:jc w:val="center"/>
        <w:rPr>
          <w:rFonts w:hint="eastAsia" w:ascii="宋体" w:hAnsi="DotumChe" w:eastAsia="宋体" w:cs="宋体"/>
          <w:b/>
          <w:color w:val="auto"/>
          <w:spacing w:val="20"/>
          <w:kern w:val="0"/>
          <w:sz w:val="40"/>
          <w:szCs w:val="40"/>
          <w:highlight w:val="none"/>
          <w:lang w:eastAsia="zh-CN"/>
        </w:rPr>
      </w:pPr>
    </w:p>
    <w:p w14:paraId="1E0374B3">
      <w:pPr>
        <w:pStyle w:val="32"/>
        <w:pageBreakBefore w:val="0"/>
        <w:kinsoku/>
        <w:overflowPunct/>
        <w:topLinePunct w:val="0"/>
        <w:bidi w:val="0"/>
        <w:ind w:left="0" w:leftChars="0" w:firstLine="0" w:firstLineChars="0"/>
        <w:jc w:val="center"/>
        <w:rPr>
          <w:rFonts w:hint="eastAsia" w:ascii="宋体" w:hAnsi="宋体" w:eastAsia="宋体" w:cs="Times New Roman"/>
          <w:b/>
          <w:bCs/>
          <w:color w:val="auto"/>
          <w:spacing w:val="20"/>
          <w:sz w:val="144"/>
          <w:szCs w:val="144"/>
          <w:highlight w:val="none"/>
          <w:lang w:eastAsia="zh-CN"/>
        </w:rPr>
      </w:pPr>
      <w:r>
        <w:rPr>
          <w:rFonts w:hint="eastAsia" w:ascii="宋体" w:hAnsi="宋体" w:eastAsia="宋体" w:cs="Times New Roman"/>
          <w:b/>
          <w:color w:val="auto"/>
          <w:sz w:val="72"/>
          <w:szCs w:val="72"/>
          <w:highlight w:val="none"/>
          <w:lang w:val="en-US" w:eastAsia="zh-CN"/>
        </w:rPr>
        <w:t>六安市医疗保障局医保智能客服项目</w:t>
      </w:r>
    </w:p>
    <w:p w14:paraId="28A4E29D">
      <w:pPr>
        <w:pStyle w:val="32"/>
        <w:pageBreakBefore w:val="0"/>
        <w:kinsoku/>
        <w:overflowPunct/>
        <w:topLinePunct w:val="0"/>
        <w:bidi w:val="0"/>
        <w:ind w:left="0" w:leftChars="0" w:firstLine="0" w:firstLineChars="0"/>
        <w:jc w:val="center"/>
        <w:rPr>
          <w:rFonts w:hint="eastAsia" w:ascii="宋体" w:hAnsi="宋体" w:eastAsia="宋体" w:cs="Times New Roman"/>
          <w:b/>
          <w:bCs/>
          <w:color w:val="auto"/>
          <w:spacing w:val="20"/>
          <w:sz w:val="96"/>
          <w:szCs w:val="96"/>
          <w:highlight w:val="none"/>
          <w:lang w:eastAsia="zh-CN"/>
        </w:rPr>
      </w:pPr>
    </w:p>
    <w:p w14:paraId="50C805C0">
      <w:pPr>
        <w:pStyle w:val="32"/>
        <w:pageBreakBefore w:val="0"/>
        <w:kinsoku/>
        <w:overflowPunct/>
        <w:topLinePunct w:val="0"/>
        <w:bidi w:val="0"/>
        <w:ind w:left="0" w:leftChars="0" w:firstLine="0" w:firstLineChars="0"/>
        <w:jc w:val="center"/>
        <w:rPr>
          <w:rFonts w:hint="eastAsia" w:ascii="宋体" w:hAnsi="宋体" w:eastAsia="宋体" w:cs="Times New Roman"/>
          <w:b/>
          <w:bCs/>
          <w:color w:val="auto"/>
          <w:spacing w:val="20"/>
          <w:sz w:val="96"/>
          <w:szCs w:val="96"/>
          <w:highlight w:val="none"/>
          <w:lang w:eastAsia="zh-CN"/>
        </w:rPr>
      </w:pPr>
    </w:p>
    <w:p w14:paraId="111E2B08">
      <w:pPr>
        <w:pStyle w:val="32"/>
        <w:pageBreakBefore w:val="0"/>
        <w:kinsoku/>
        <w:overflowPunct/>
        <w:topLinePunct w:val="0"/>
        <w:bidi w:val="0"/>
        <w:ind w:left="0" w:leftChars="0" w:firstLine="0" w:firstLineChars="0"/>
        <w:jc w:val="center"/>
        <w:rPr>
          <w:rFonts w:hint="eastAsia" w:ascii="方正仿宋_GBK" w:hAnsi="方正仿宋_GBK" w:eastAsia="方正仿宋_GBK" w:cs="方正仿宋_GBK"/>
          <w:b/>
          <w:bCs/>
          <w:color w:val="auto"/>
          <w:spacing w:val="20"/>
          <w:sz w:val="96"/>
          <w:szCs w:val="96"/>
          <w:highlight w:val="none"/>
          <w:lang w:eastAsia="zh-CN"/>
        </w:rPr>
      </w:pPr>
      <w:r>
        <w:rPr>
          <w:rFonts w:hint="eastAsia" w:ascii="宋体" w:hAnsi="宋体" w:eastAsia="宋体" w:cs="Times New Roman"/>
          <w:b/>
          <w:bCs/>
          <w:color w:val="auto"/>
          <w:spacing w:val="20"/>
          <w:sz w:val="96"/>
          <w:szCs w:val="96"/>
          <w:highlight w:val="none"/>
          <w:lang w:eastAsia="zh-CN"/>
        </w:rPr>
        <w:t>发包文件</w:t>
      </w:r>
    </w:p>
    <w:p w14:paraId="623AA92F">
      <w:pPr>
        <w:pStyle w:val="32"/>
        <w:pageBreakBefore w:val="0"/>
        <w:kinsoku/>
        <w:overflowPunct/>
        <w:topLinePunct w:val="0"/>
        <w:bidi w:val="0"/>
        <w:ind w:left="0" w:leftChars="0" w:firstLine="0" w:firstLineChars="0"/>
        <w:jc w:val="center"/>
        <w:outlineLvl w:val="0"/>
        <w:rPr>
          <w:rFonts w:hint="default" w:asciiTheme="minorEastAsia" w:hAnsiTheme="minorEastAsia" w:eastAsiaTheme="minorEastAsia" w:cstheme="minorEastAsia"/>
          <w:b w:val="0"/>
          <w:bCs/>
          <w:color w:val="auto"/>
          <w:sz w:val="32"/>
          <w:szCs w:val="32"/>
          <w:highlight w:val="none"/>
          <w:lang w:val="en-US" w:eastAsia="zh-CN"/>
        </w:rPr>
      </w:pPr>
      <w:bookmarkStart w:id="0" w:name="_Toc26400"/>
      <w:bookmarkStart w:id="1" w:name="_Toc31767"/>
      <w:bookmarkStart w:id="2" w:name="_Toc8422"/>
      <w:r>
        <w:rPr>
          <w:rFonts w:hint="eastAsia" w:asciiTheme="minorEastAsia" w:hAnsiTheme="minorEastAsia" w:eastAsiaTheme="minorEastAsia" w:cstheme="minorEastAsia"/>
          <w:b w:val="0"/>
          <w:bCs/>
          <w:color w:val="auto"/>
          <w:sz w:val="32"/>
          <w:szCs w:val="32"/>
          <w:highlight w:val="none"/>
          <w:lang w:val="en-US" w:eastAsia="zh-CN"/>
        </w:rPr>
        <w:t>项目编号：</w:t>
      </w:r>
      <w:bookmarkEnd w:id="0"/>
      <w:bookmarkEnd w:id="1"/>
      <w:bookmarkEnd w:id="2"/>
      <w:bookmarkStart w:id="3" w:name="OLE_LINK2"/>
      <w:r>
        <w:rPr>
          <w:rFonts w:hint="eastAsia" w:asciiTheme="minorEastAsia" w:hAnsiTheme="minorEastAsia" w:eastAsiaTheme="minorEastAsia" w:cstheme="minorEastAsia"/>
          <w:b w:val="0"/>
          <w:bCs/>
          <w:color w:val="auto"/>
          <w:sz w:val="32"/>
          <w:szCs w:val="32"/>
          <w:highlight w:val="none"/>
          <w:lang w:val="en-US" w:eastAsia="zh-CN"/>
        </w:rPr>
        <w:t>JA2025-ZB0</w:t>
      </w:r>
      <w:bookmarkEnd w:id="3"/>
      <w:r>
        <w:rPr>
          <w:rFonts w:hint="eastAsia" w:asciiTheme="minorEastAsia" w:hAnsiTheme="minorEastAsia" w:eastAsiaTheme="minorEastAsia" w:cstheme="minorEastAsia"/>
          <w:b w:val="0"/>
          <w:bCs/>
          <w:color w:val="auto"/>
          <w:sz w:val="32"/>
          <w:szCs w:val="32"/>
          <w:highlight w:val="none"/>
          <w:lang w:val="en-US" w:eastAsia="zh-CN"/>
        </w:rPr>
        <w:t>50</w:t>
      </w:r>
    </w:p>
    <w:p w14:paraId="19123CDA">
      <w:pPr>
        <w:pStyle w:val="32"/>
        <w:pageBreakBefore w:val="0"/>
        <w:kinsoku/>
        <w:overflowPunct/>
        <w:topLinePunct w:val="0"/>
        <w:bidi w:val="0"/>
        <w:ind w:left="0" w:leftChars="0" w:firstLine="562" w:firstLineChars="200"/>
        <w:rPr>
          <w:rFonts w:hint="eastAsia" w:ascii="仿宋_GB2312" w:eastAsia="仿宋_GB2312"/>
          <w:color w:val="auto"/>
          <w:sz w:val="28"/>
          <w:szCs w:val="28"/>
          <w:highlight w:val="none"/>
          <w:lang w:val="en-US" w:eastAsia="zh-CN"/>
        </w:rPr>
      </w:pPr>
    </w:p>
    <w:p w14:paraId="73ACFB2A">
      <w:pPr>
        <w:pageBreakBefore w:val="0"/>
        <w:tabs>
          <w:tab w:val="left" w:pos="315"/>
          <w:tab w:val="left" w:pos="8820"/>
        </w:tabs>
        <w:kinsoku/>
        <w:overflowPunct/>
        <w:topLinePunct w:val="0"/>
        <w:bidi w:val="0"/>
        <w:spacing w:before="312" w:beforeLines="100" w:after="156" w:afterLines="50" w:line="500" w:lineRule="exact"/>
        <w:ind w:right="267" w:rightChars="127"/>
        <w:jc w:val="both"/>
        <w:rPr>
          <w:rFonts w:hint="eastAsia" w:ascii="Arial Black" w:hAnsi="Arial Black" w:eastAsia="华文彩云"/>
          <w:color w:val="auto"/>
          <w:sz w:val="44"/>
          <w:highlight w:val="none"/>
        </w:rPr>
      </w:pPr>
    </w:p>
    <w:p w14:paraId="5C7467C3">
      <w:pPr>
        <w:pageBreakBefore w:val="0"/>
        <w:tabs>
          <w:tab w:val="left" w:pos="315"/>
          <w:tab w:val="left" w:pos="8820"/>
        </w:tabs>
        <w:kinsoku/>
        <w:overflowPunct/>
        <w:topLinePunct w:val="0"/>
        <w:bidi w:val="0"/>
        <w:spacing w:before="312" w:beforeLines="100" w:after="156" w:afterLines="50" w:line="500" w:lineRule="exact"/>
        <w:ind w:right="267" w:rightChars="127"/>
        <w:jc w:val="both"/>
        <w:rPr>
          <w:rFonts w:hint="eastAsia" w:ascii="Arial Black" w:hAnsi="Arial Black" w:eastAsia="华文彩云"/>
          <w:color w:val="auto"/>
          <w:sz w:val="44"/>
          <w:highlight w:val="none"/>
        </w:rPr>
      </w:pPr>
    </w:p>
    <w:p w14:paraId="03D430E3">
      <w:pPr>
        <w:pageBreakBefore w:val="0"/>
        <w:tabs>
          <w:tab w:val="left" w:pos="315"/>
          <w:tab w:val="left" w:pos="8820"/>
        </w:tabs>
        <w:kinsoku/>
        <w:overflowPunct/>
        <w:topLinePunct w:val="0"/>
        <w:bidi w:val="0"/>
        <w:spacing w:before="312" w:beforeLines="100" w:after="156" w:afterLines="50" w:line="500" w:lineRule="exact"/>
        <w:ind w:right="267" w:rightChars="127"/>
        <w:jc w:val="both"/>
        <w:rPr>
          <w:rFonts w:ascii="宋体" w:hAnsi="DotumChe" w:cs="宋体"/>
          <w:b/>
          <w:color w:val="auto"/>
          <w:spacing w:val="20"/>
          <w:kern w:val="0"/>
          <w:sz w:val="32"/>
          <w:szCs w:val="32"/>
          <w:highlight w:val="none"/>
        </w:rPr>
      </w:pPr>
      <w:r>
        <w:rPr>
          <w:rFonts w:hint="eastAsia" w:ascii="Arial Black" w:hAnsi="Arial Black" w:eastAsia="华文彩云"/>
          <w:color w:val="auto"/>
          <w:sz w:val="44"/>
          <w:highlight w:val="none"/>
        </w:rPr>
        <w:t xml:space="preserve"> </w:t>
      </w:r>
    </w:p>
    <w:p w14:paraId="731D729A">
      <w:pPr>
        <w:pStyle w:val="32"/>
        <w:ind w:left="0" w:leftChars="0" w:firstLine="0" w:firstLineChars="0"/>
        <w:rPr>
          <w:rFonts w:ascii="宋体" w:hAnsi="DotumChe" w:cs="宋体"/>
          <w:b/>
          <w:color w:val="auto"/>
          <w:spacing w:val="20"/>
          <w:kern w:val="0"/>
          <w:sz w:val="32"/>
          <w:szCs w:val="32"/>
          <w:highlight w:val="none"/>
        </w:rPr>
      </w:pPr>
    </w:p>
    <w:p w14:paraId="0B41EE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Times New Roman"/>
          <w:b w:val="0"/>
          <w:bCs/>
          <w:color w:val="auto"/>
          <w:sz w:val="32"/>
          <w:szCs w:val="32"/>
          <w:highlight w:val="none"/>
          <w:lang w:val="en-US" w:eastAsia="zh-CN"/>
        </w:rPr>
      </w:pPr>
      <w:r>
        <w:rPr>
          <w:rFonts w:hint="eastAsia" w:ascii="宋体" w:hAnsi="宋体" w:cs="Times New Roman"/>
          <w:b w:val="0"/>
          <w:bCs/>
          <w:color w:val="auto"/>
          <w:sz w:val="32"/>
          <w:szCs w:val="32"/>
          <w:highlight w:val="none"/>
          <w:lang w:val="en-US" w:eastAsia="zh-CN"/>
        </w:rPr>
        <w:t>六安市医疗保障局</w:t>
      </w:r>
    </w:p>
    <w:p w14:paraId="5937E7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Times New Roman"/>
          <w:b w:val="0"/>
          <w:bCs/>
          <w:color w:val="auto"/>
          <w:sz w:val="32"/>
          <w:szCs w:val="32"/>
          <w:highlight w:val="none"/>
          <w:lang w:val="en-US" w:eastAsia="zh-CN"/>
        </w:rPr>
      </w:pPr>
      <w:r>
        <w:rPr>
          <w:rFonts w:hint="eastAsia" w:ascii="宋体" w:hAnsi="宋体" w:cs="Times New Roman"/>
          <w:b w:val="0"/>
          <w:bCs/>
          <w:color w:val="auto"/>
          <w:sz w:val="32"/>
          <w:szCs w:val="32"/>
          <w:highlight w:val="none"/>
          <w:lang w:val="en-US" w:eastAsia="zh-CN"/>
        </w:rPr>
        <w:t>安徽建安工程项目管理有限公司</w:t>
      </w:r>
    </w:p>
    <w:p w14:paraId="601C0C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val="0"/>
          <w:bCs/>
          <w:color w:val="auto"/>
          <w:sz w:val="32"/>
          <w:szCs w:val="32"/>
          <w:highlight w:val="none"/>
          <w:lang w:val="en-US" w:eastAsia="zh-CN"/>
        </w:rPr>
      </w:pPr>
      <w:r>
        <w:rPr>
          <w:rFonts w:hint="eastAsia" w:ascii="宋体" w:hAnsi="宋体" w:eastAsia="宋体" w:cs="Times New Roman"/>
          <w:b w:val="0"/>
          <w:bCs/>
          <w:color w:val="auto"/>
          <w:sz w:val="32"/>
          <w:szCs w:val="32"/>
          <w:highlight w:val="none"/>
          <w:lang w:val="en-US" w:eastAsia="zh-CN"/>
        </w:rPr>
        <w:t>202</w:t>
      </w:r>
      <w:r>
        <w:rPr>
          <w:rFonts w:hint="eastAsia" w:ascii="宋体" w:hAnsi="宋体" w:cs="Times New Roman"/>
          <w:b w:val="0"/>
          <w:bCs/>
          <w:color w:val="auto"/>
          <w:sz w:val="32"/>
          <w:szCs w:val="32"/>
          <w:highlight w:val="none"/>
          <w:lang w:val="en-US" w:eastAsia="zh-CN"/>
        </w:rPr>
        <w:t>5</w:t>
      </w:r>
      <w:r>
        <w:rPr>
          <w:rFonts w:hint="eastAsia" w:ascii="宋体" w:hAnsi="宋体" w:eastAsia="宋体" w:cs="Times New Roman"/>
          <w:b w:val="0"/>
          <w:bCs/>
          <w:color w:val="auto"/>
          <w:sz w:val="32"/>
          <w:szCs w:val="32"/>
          <w:highlight w:val="none"/>
          <w:lang w:val="en-US" w:eastAsia="zh-CN"/>
        </w:rPr>
        <w:t>年</w:t>
      </w:r>
      <w:r>
        <w:rPr>
          <w:rFonts w:hint="eastAsia" w:ascii="宋体" w:hAnsi="宋体" w:cs="Times New Roman"/>
          <w:b w:val="0"/>
          <w:bCs/>
          <w:color w:val="auto"/>
          <w:sz w:val="32"/>
          <w:szCs w:val="32"/>
          <w:highlight w:val="none"/>
          <w:lang w:val="en-US" w:eastAsia="zh-CN"/>
        </w:rPr>
        <w:t>9</w:t>
      </w:r>
      <w:r>
        <w:rPr>
          <w:rFonts w:hint="eastAsia" w:ascii="宋体" w:hAnsi="宋体" w:eastAsia="宋体" w:cs="Times New Roman"/>
          <w:b w:val="0"/>
          <w:bCs/>
          <w:color w:val="auto"/>
          <w:sz w:val="32"/>
          <w:szCs w:val="32"/>
          <w:highlight w:val="none"/>
          <w:lang w:val="en-US" w:eastAsia="zh-CN"/>
        </w:rPr>
        <w:t>月</w:t>
      </w:r>
    </w:p>
    <w:p w14:paraId="6E35DADE">
      <w:pPr>
        <w:pStyle w:val="32"/>
        <w:rPr>
          <w:rFonts w:hint="eastAsia" w:ascii="宋体" w:hAnsi="宋体" w:eastAsia="宋体" w:cs="Times New Roman"/>
          <w:b/>
          <w:color w:val="auto"/>
          <w:sz w:val="32"/>
          <w:szCs w:val="32"/>
          <w:highlight w:val="none"/>
          <w:lang w:val="en-US" w:eastAsia="zh-CN"/>
        </w:rPr>
        <w:sectPr>
          <w:headerReference r:id="rId3" w:type="default"/>
          <w:footerReference r:id="rId4" w:type="default"/>
          <w:pgSz w:w="11906" w:h="16838"/>
          <w:pgMar w:top="1361" w:right="1587" w:bottom="1361" w:left="1587" w:header="1020" w:footer="850" w:gutter="0"/>
          <w:pgNumType w:fmt="decimal" w:start="1"/>
          <w:cols w:space="720" w:num="1"/>
          <w:docGrid w:type="lines" w:linePitch="332" w:charSpace="0"/>
        </w:sectPr>
      </w:pPr>
    </w:p>
    <w:p w14:paraId="0F0337F3">
      <w:pPr>
        <w:pStyle w:val="32"/>
        <w:rPr>
          <w:rFonts w:hint="eastAsia" w:ascii="宋体" w:hAnsi="宋体" w:eastAsia="宋体" w:cs="Times New Roman"/>
          <w:b/>
          <w:color w:val="auto"/>
          <w:sz w:val="32"/>
          <w:szCs w:val="32"/>
          <w:highlight w:val="none"/>
          <w:lang w:val="en-US" w:eastAsia="zh-CN"/>
        </w:rPr>
      </w:pPr>
    </w:p>
    <w:p w14:paraId="5B08DCD9">
      <w:pPr>
        <w:spacing w:before="0" w:beforeLines="0" w:after="0" w:afterLines="0" w:line="240" w:lineRule="auto"/>
        <w:ind w:left="0" w:leftChars="0" w:right="0" w:rightChars="0" w:firstLine="0" w:firstLineChars="0"/>
        <w:jc w:val="center"/>
        <w:rPr>
          <w:b/>
          <w:bCs/>
          <w:color w:val="auto"/>
          <w:sz w:val="40"/>
          <w:szCs w:val="36"/>
          <w:highlight w:val="none"/>
        </w:rPr>
      </w:pPr>
      <w:r>
        <w:rPr>
          <w:rFonts w:ascii="宋体" w:hAnsi="宋体" w:eastAsia="宋体"/>
          <w:b/>
          <w:bCs/>
          <w:color w:val="auto"/>
          <w:sz w:val="40"/>
          <w:szCs w:val="36"/>
          <w:highlight w:val="none"/>
        </w:rPr>
        <w:t>目</w:t>
      </w:r>
      <w:r>
        <w:rPr>
          <w:rFonts w:hint="eastAsia" w:ascii="宋体" w:hAnsi="宋体" w:eastAsia="宋体"/>
          <w:b/>
          <w:bCs/>
          <w:color w:val="auto"/>
          <w:sz w:val="40"/>
          <w:szCs w:val="36"/>
          <w:highlight w:val="none"/>
          <w:lang w:val="en-US" w:eastAsia="zh-CN"/>
        </w:rPr>
        <w:t xml:space="preserve">  </w:t>
      </w:r>
      <w:r>
        <w:rPr>
          <w:rFonts w:ascii="宋体" w:hAnsi="宋体" w:eastAsia="宋体"/>
          <w:b/>
          <w:bCs/>
          <w:color w:val="auto"/>
          <w:sz w:val="40"/>
          <w:szCs w:val="36"/>
          <w:highlight w:val="none"/>
        </w:rPr>
        <w:t>录</w:t>
      </w:r>
    </w:p>
    <w:p w14:paraId="16250C69">
      <w:pPr>
        <w:pStyle w:val="22"/>
        <w:tabs>
          <w:tab w:val="right" w:leader="dot" w:pos="8732"/>
        </w:tabs>
        <w:rPr>
          <w:color w:val="auto"/>
          <w:highlight w:val="none"/>
        </w:rPr>
      </w:pPr>
      <w:r>
        <w:rPr>
          <w:rFonts w:hint="eastAsia" w:ascii="宋体" w:hAnsi="宋体" w:eastAsia="宋体" w:cs="Times New Roman"/>
          <w:b/>
          <w:color w:val="auto"/>
          <w:sz w:val="32"/>
          <w:szCs w:val="32"/>
          <w:highlight w:val="none"/>
          <w:lang w:val="en-US" w:eastAsia="zh-CN"/>
        </w:rPr>
        <w:fldChar w:fldCharType="begin"/>
      </w:r>
      <w:r>
        <w:rPr>
          <w:rFonts w:hint="eastAsia" w:ascii="宋体" w:hAnsi="宋体" w:eastAsia="宋体" w:cs="Times New Roman"/>
          <w:b/>
          <w:color w:val="auto"/>
          <w:sz w:val="32"/>
          <w:szCs w:val="32"/>
          <w:highlight w:val="none"/>
          <w:lang w:val="en-US" w:eastAsia="zh-CN"/>
        </w:rPr>
        <w:instrText xml:space="preserve">TOC \o "1-1" \h \u </w:instrText>
      </w:r>
      <w:r>
        <w:rPr>
          <w:rFonts w:hint="eastAsia" w:ascii="宋体" w:hAnsi="宋体" w:eastAsia="宋体" w:cs="Times New Roman"/>
          <w:b/>
          <w:color w:val="auto"/>
          <w:sz w:val="32"/>
          <w:szCs w:val="32"/>
          <w:highlight w:val="none"/>
          <w:lang w:val="en-US" w:eastAsia="zh-CN"/>
        </w:rPr>
        <w:fldChar w:fldCharType="separate"/>
      </w:r>
    </w:p>
    <w:p w14:paraId="4C600980">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_Toc20103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kern w:val="2"/>
          <w:szCs w:val="32"/>
          <w:highlight w:val="none"/>
          <w:lang w:val="en-US" w:eastAsia="zh-CN" w:bidi="ar-SA"/>
        </w:rPr>
        <w:t>一、发包公告</w:t>
      </w:r>
      <w:r>
        <w:rPr>
          <w:b w:val="0"/>
          <w:bCs/>
          <w:color w:val="auto"/>
          <w:highlight w:val="none"/>
        </w:rPr>
        <w:tab/>
      </w:r>
      <w:r>
        <w:rPr>
          <w:b w:val="0"/>
          <w:bCs/>
          <w:color w:val="auto"/>
          <w:highlight w:val="none"/>
        </w:rPr>
        <w:fldChar w:fldCharType="begin"/>
      </w:r>
      <w:r>
        <w:rPr>
          <w:b w:val="0"/>
          <w:bCs/>
          <w:color w:val="auto"/>
          <w:highlight w:val="none"/>
        </w:rPr>
        <w:instrText xml:space="preserve"> PAGEREF _Toc20103 \h </w:instrText>
      </w:r>
      <w:r>
        <w:rPr>
          <w:b w:val="0"/>
          <w:bCs/>
          <w:color w:val="auto"/>
          <w:highlight w:val="none"/>
        </w:rPr>
        <w:fldChar w:fldCharType="separate"/>
      </w:r>
      <w:r>
        <w:rPr>
          <w:b w:val="0"/>
          <w:bCs/>
          <w:color w:val="auto"/>
          <w:highlight w:val="none"/>
        </w:rPr>
        <w:t>2</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64BEBD96">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_Toc24101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szCs w:val="32"/>
          <w:highlight w:val="none"/>
          <w:lang w:eastAsia="zh-CN"/>
        </w:rPr>
        <w:t>二、</w:t>
      </w:r>
      <w:r>
        <w:rPr>
          <w:rFonts w:hint="eastAsia" w:ascii="仿宋" w:hAnsi="仿宋" w:eastAsia="仿宋" w:cs="仿宋"/>
          <w:b w:val="0"/>
          <w:bCs/>
          <w:color w:val="auto"/>
          <w:szCs w:val="32"/>
          <w:highlight w:val="none"/>
        </w:rPr>
        <w:t>供应商须知</w:t>
      </w:r>
      <w:r>
        <w:rPr>
          <w:b w:val="0"/>
          <w:bCs/>
          <w:color w:val="auto"/>
          <w:highlight w:val="none"/>
        </w:rPr>
        <w:tab/>
      </w:r>
      <w:r>
        <w:rPr>
          <w:b w:val="0"/>
          <w:bCs/>
          <w:color w:val="auto"/>
          <w:highlight w:val="none"/>
        </w:rPr>
        <w:fldChar w:fldCharType="begin"/>
      </w:r>
      <w:r>
        <w:rPr>
          <w:b w:val="0"/>
          <w:bCs/>
          <w:color w:val="auto"/>
          <w:highlight w:val="none"/>
        </w:rPr>
        <w:instrText xml:space="preserve"> PAGEREF _Toc24101 \h </w:instrText>
      </w:r>
      <w:r>
        <w:rPr>
          <w:b w:val="0"/>
          <w:bCs/>
          <w:color w:val="auto"/>
          <w:highlight w:val="none"/>
        </w:rPr>
        <w:fldChar w:fldCharType="separate"/>
      </w:r>
      <w:r>
        <w:rPr>
          <w:b w:val="0"/>
          <w:bCs/>
          <w:color w:val="auto"/>
          <w:highlight w:val="none"/>
        </w:rPr>
        <w:t>4</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6BF9191B">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_Toc24177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szCs w:val="32"/>
          <w:highlight w:val="none"/>
          <w:lang w:eastAsia="zh-CN"/>
        </w:rPr>
        <w:t>三</w:t>
      </w:r>
      <w:r>
        <w:rPr>
          <w:rFonts w:hint="eastAsia" w:ascii="仿宋" w:hAnsi="仿宋" w:eastAsia="仿宋" w:cs="仿宋"/>
          <w:b w:val="0"/>
          <w:bCs/>
          <w:color w:val="auto"/>
          <w:szCs w:val="32"/>
          <w:highlight w:val="none"/>
        </w:rPr>
        <w:t>、采购合同</w:t>
      </w:r>
      <w:r>
        <w:rPr>
          <w:b w:val="0"/>
          <w:bCs/>
          <w:color w:val="auto"/>
          <w:highlight w:val="none"/>
        </w:rPr>
        <w:tab/>
      </w:r>
      <w:r>
        <w:rPr>
          <w:b w:val="0"/>
          <w:bCs/>
          <w:color w:val="auto"/>
          <w:highlight w:val="none"/>
        </w:rPr>
        <w:fldChar w:fldCharType="begin"/>
      </w:r>
      <w:r>
        <w:rPr>
          <w:b w:val="0"/>
          <w:bCs/>
          <w:color w:val="auto"/>
          <w:highlight w:val="none"/>
        </w:rPr>
        <w:instrText xml:space="preserve"> PAGEREF _Toc24177 \h </w:instrText>
      </w:r>
      <w:r>
        <w:rPr>
          <w:b w:val="0"/>
          <w:bCs/>
          <w:color w:val="auto"/>
          <w:highlight w:val="none"/>
        </w:rPr>
        <w:fldChar w:fldCharType="separate"/>
      </w:r>
      <w:r>
        <w:rPr>
          <w:b w:val="0"/>
          <w:bCs/>
          <w:color w:val="auto"/>
          <w:highlight w:val="none"/>
        </w:rPr>
        <w:t>10</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4876F75E">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_Toc8970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szCs w:val="32"/>
          <w:highlight w:val="none"/>
          <w:lang w:eastAsia="zh-CN"/>
        </w:rPr>
        <w:t>四</w:t>
      </w:r>
      <w:r>
        <w:rPr>
          <w:rFonts w:hint="eastAsia" w:ascii="仿宋" w:hAnsi="仿宋" w:eastAsia="仿宋" w:cs="仿宋"/>
          <w:b w:val="0"/>
          <w:bCs/>
          <w:color w:val="auto"/>
          <w:szCs w:val="32"/>
          <w:highlight w:val="none"/>
        </w:rPr>
        <w:t>、采购需求</w:t>
      </w:r>
      <w:r>
        <w:rPr>
          <w:b w:val="0"/>
          <w:bCs/>
          <w:color w:val="auto"/>
          <w:highlight w:val="none"/>
        </w:rPr>
        <w:tab/>
      </w:r>
      <w:r>
        <w:rPr>
          <w:b w:val="0"/>
          <w:bCs/>
          <w:color w:val="auto"/>
          <w:highlight w:val="none"/>
        </w:rPr>
        <w:fldChar w:fldCharType="begin"/>
      </w:r>
      <w:r>
        <w:rPr>
          <w:b w:val="0"/>
          <w:bCs/>
          <w:color w:val="auto"/>
          <w:highlight w:val="none"/>
        </w:rPr>
        <w:instrText xml:space="preserve"> PAGEREF _Toc8970 \h </w:instrText>
      </w:r>
      <w:r>
        <w:rPr>
          <w:b w:val="0"/>
          <w:bCs/>
          <w:color w:val="auto"/>
          <w:highlight w:val="none"/>
        </w:rPr>
        <w:fldChar w:fldCharType="separate"/>
      </w:r>
      <w:r>
        <w:rPr>
          <w:b w:val="0"/>
          <w:bCs/>
          <w:color w:val="auto"/>
          <w:highlight w:val="none"/>
        </w:rPr>
        <w:t>10</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2D26FBDB">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_Toc1844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szCs w:val="32"/>
          <w:highlight w:val="none"/>
          <w:lang w:val="en-US" w:eastAsia="zh-CN"/>
        </w:rPr>
        <w:t>五、</w:t>
      </w:r>
      <w:r>
        <w:rPr>
          <w:rFonts w:hint="eastAsia" w:ascii="仿宋" w:hAnsi="仿宋" w:eastAsia="仿宋" w:cs="仿宋"/>
          <w:b w:val="0"/>
          <w:bCs/>
          <w:color w:val="auto"/>
          <w:szCs w:val="32"/>
          <w:highlight w:val="none"/>
        </w:rPr>
        <w:t>评分标准</w:t>
      </w:r>
      <w:r>
        <w:rPr>
          <w:b w:val="0"/>
          <w:bCs/>
          <w:color w:val="auto"/>
          <w:highlight w:val="none"/>
        </w:rPr>
        <w:tab/>
      </w:r>
      <w:r>
        <w:rPr>
          <w:b w:val="0"/>
          <w:bCs/>
          <w:color w:val="auto"/>
          <w:highlight w:val="none"/>
        </w:rPr>
        <w:fldChar w:fldCharType="begin"/>
      </w:r>
      <w:r>
        <w:rPr>
          <w:b w:val="0"/>
          <w:bCs/>
          <w:color w:val="auto"/>
          <w:highlight w:val="none"/>
        </w:rPr>
        <w:instrText xml:space="preserve"> PAGEREF _Toc1844 \h </w:instrText>
      </w:r>
      <w:r>
        <w:rPr>
          <w:b w:val="0"/>
          <w:bCs/>
          <w:color w:val="auto"/>
          <w:highlight w:val="none"/>
        </w:rPr>
        <w:fldChar w:fldCharType="separate"/>
      </w:r>
      <w:r>
        <w:rPr>
          <w:b w:val="0"/>
          <w:bCs/>
          <w:color w:val="auto"/>
          <w:highlight w:val="none"/>
        </w:rPr>
        <w:t>10</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44C1672F">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_Toc32130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szCs w:val="32"/>
          <w:highlight w:val="none"/>
          <w:lang w:eastAsia="zh-CN"/>
        </w:rPr>
        <w:t>六</w:t>
      </w:r>
      <w:r>
        <w:rPr>
          <w:rFonts w:hint="eastAsia" w:ascii="仿宋" w:hAnsi="仿宋" w:eastAsia="仿宋" w:cs="仿宋"/>
          <w:b w:val="0"/>
          <w:bCs/>
          <w:color w:val="auto"/>
          <w:szCs w:val="32"/>
          <w:highlight w:val="none"/>
        </w:rPr>
        <w:t>、响应文件格式</w:t>
      </w:r>
      <w:r>
        <w:rPr>
          <w:b w:val="0"/>
          <w:bCs/>
          <w:color w:val="auto"/>
          <w:highlight w:val="none"/>
        </w:rPr>
        <w:tab/>
      </w:r>
      <w:r>
        <w:rPr>
          <w:b w:val="0"/>
          <w:bCs/>
          <w:color w:val="auto"/>
          <w:highlight w:val="none"/>
        </w:rPr>
        <w:fldChar w:fldCharType="begin"/>
      </w:r>
      <w:r>
        <w:rPr>
          <w:b w:val="0"/>
          <w:bCs/>
          <w:color w:val="auto"/>
          <w:highlight w:val="none"/>
        </w:rPr>
        <w:instrText xml:space="preserve"> PAGEREF _Toc32130 \h </w:instrText>
      </w:r>
      <w:r>
        <w:rPr>
          <w:b w:val="0"/>
          <w:bCs/>
          <w:color w:val="auto"/>
          <w:highlight w:val="none"/>
        </w:rPr>
        <w:fldChar w:fldCharType="separate"/>
      </w:r>
      <w:r>
        <w:rPr>
          <w:b w:val="0"/>
          <w:bCs/>
          <w:color w:val="auto"/>
          <w:highlight w:val="none"/>
        </w:rPr>
        <w:t>16</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7CD400CF">
      <w:pPr>
        <w:pStyle w:val="32"/>
        <w:rPr>
          <w:rFonts w:hint="eastAsia" w:ascii="宋体" w:hAnsi="宋体" w:eastAsia="宋体" w:cs="Times New Roman"/>
          <w:b/>
          <w:color w:val="auto"/>
          <w:sz w:val="32"/>
          <w:szCs w:val="32"/>
          <w:highlight w:val="none"/>
          <w:lang w:val="en-US" w:eastAsia="zh-CN"/>
        </w:rPr>
        <w:sectPr>
          <w:footerReference r:id="rId5" w:type="default"/>
          <w:pgSz w:w="11906" w:h="16838"/>
          <w:pgMar w:top="1361" w:right="1587" w:bottom="1361" w:left="1587" w:header="1020" w:footer="850" w:gutter="0"/>
          <w:pgNumType w:fmt="decimal" w:start="1"/>
          <w:cols w:space="720" w:num="1"/>
          <w:docGrid w:type="lines" w:linePitch="332" w:charSpace="0"/>
        </w:sectPr>
      </w:pPr>
      <w:r>
        <w:rPr>
          <w:rFonts w:hint="eastAsia" w:ascii="宋体" w:hAnsi="宋体" w:eastAsia="宋体" w:cs="Times New Roman"/>
          <w:color w:val="auto"/>
          <w:szCs w:val="32"/>
          <w:highlight w:val="none"/>
          <w:lang w:val="en-US" w:eastAsia="zh-CN"/>
        </w:rPr>
        <w:fldChar w:fldCharType="end"/>
      </w:r>
    </w:p>
    <w:p w14:paraId="5F4936D6">
      <w:pPr>
        <w:pStyle w:val="32"/>
        <w:jc w:val="center"/>
        <w:outlineLvl w:val="0"/>
        <w:rPr>
          <w:rFonts w:hint="eastAsia" w:ascii="仿宋" w:hAnsi="仿宋" w:eastAsia="仿宋" w:cs="仿宋"/>
          <w:b/>
          <w:bCs/>
          <w:color w:val="auto"/>
          <w:kern w:val="2"/>
          <w:sz w:val="32"/>
          <w:szCs w:val="32"/>
          <w:highlight w:val="none"/>
          <w:lang w:val="en-US" w:eastAsia="zh-CN" w:bidi="ar-SA"/>
        </w:rPr>
      </w:pPr>
      <w:bookmarkStart w:id="4" w:name="_Toc20103"/>
    </w:p>
    <w:p w14:paraId="6C5B5838">
      <w:pPr>
        <w:pStyle w:val="3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一、发包公告</w:t>
      </w:r>
      <w:bookmarkEnd w:id="4"/>
      <w:bookmarkStart w:id="5" w:name="_Toc355787716"/>
      <w:bookmarkStart w:id="6" w:name="_Toc304388426"/>
      <w:bookmarkStart w:id="7" w:name="_Toc341340659"/>
    </w:p>
    <w:p w14:paraId="6DF145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bookmarkStart w:id="8" w:name="OLE_LINK4"/>
      <w:bookmarkStart w:id="9" w:name="OLE_LINK3"/>
      <w:r>
        <w:rPr>
          <w:rFonts w:hint="eastAsia" w:ascii="仿宋" w:hAnsi="仿宋" w:eastAsia="仿宋" w:cs="仿宋"/>
          <w:color w:val="auto"/>
          <w:sz w:val="28"/>
          <w:szCs w:val="28"/>
          <w:highlight w:val="none"/>
        </w:rPr>
        <w:t>受</w:t>
      </w:r>
      <w:r>
        <w:rPr>
          <w:rFonts w:hint="eastAsia" w:ascii="仿宋" w:hAnsi="仿宋" w:eastAsia="仿宋" w:cs="仿宋"/>
          <w:color w:val="auto"/>
          <w:sz w:val="28"/>
          <w:szCs w:val="28"/>
          <w:highlight w:val="none"/>
          <w:lang w:val="en-US" w:eastAsia="zh-CN"/>
        </w:rPr>
        <w:t>六安市医疗保障局</w:t>
      </w:r>
      <w:r>
        <w:rPr>
          <w:rFonts w:hint="eastAsia" w:ascii="仿宋" w:hAnsi="仿宋" w:eastAsia="仿宋" w:cs="仿宋"/>
          <w:color w:val="auto"/>
          <w:sz w:val="28"/>
          <w:szCs w:val="28"/>
          <w:highlight w:val="none"/>
        </w:rPr>
        <w:t>的委托，现对</w:t>
      </w:r>
      <w:r>
        <w:rPr>
          <w:rFonts w:hint="eastAsia" w:ascii="仿宋" w:hAnsi="仿宋" w:eastAsia="仿宋" w:cs="仿宋"/>
          <w:color w:val="auto"/>
          <w:sz w:val="28"/>
          <w:szCs w:val="28"/>
          <w:highlight w:val="none"/>
          <w:lang w:eastAsia="zh-CN"/>
        </w:rPr>
        <w:t>六安市医疗保障局医保智能客服项目</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，欢迎符合条件的供应商参加，具体事项如下:</w:t>
      </w:r>
    </w:p>
    <w:p w14:paraId="1FCEC02D">
      <w:pPr>
        <w:spacing w:line="360" w:lineRule="auto"/>
        <w:ind w:firstLine="480"/>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一、项目编号：</w:t>
      </w:r>
      <w:r>
        <w:rPr>
          <w:rFonts w:hint="eastAsia" w:ascii="仿宋" w:hAnsi="仿宋" w:eastAsia="仿宋" w:cs="仿宋"/>
          <w:color w:val="auto"/>
          <w:sz w:val="28"/>
          <w:szCs w:val="28"/>
          <w:highlight w:val="none"/>
          <w:lang w:val="en-US" w:eastAsia="zh-CN"/>
        </w:rPr>
        <w:t>JA2025-ZB050</w:t>
      </w:r>
    </w:p>
    <w:p w14:paraId="0C7BD4A8">
      <w:pPr>
        <w:spacing w:line="360" w:lineRule="auto"/>
        <w:ind w:firstLine="48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二、项目名称：</w:t>
      </w:r>
      <w:r>
        <w:rPr>
          <w:rFonts w:hint="eastAsia" w:ascii="仿宋" w:hAnsi="仿宋" w:eastAsia="仿宋" w:cs="仿宋"/>
          <w:color w:val="auto"/>
          <w:sz w:val="28"/>
          <w:szCs w:val="28"/>
          <w:highlight w:val="none"/>
          <w:lang w:val="en-US" w:eastAsia="zh-CN"/>
        </w:rPr>
        <w:t>六安市医疗保障局医保智能客服项目</w:t>
      </w:r>
    </w:p>
    <w:p w14:paraId="20DA9379">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三、项目单位：</w:t>
      </w:r>
      <w:r>
        <w:rPr>
          <w:rFonts w:hint="eastAsia" w:ascii="仿宋" w:hAnsi="仿宋" w:eastAsia="仿宋" w:cs="仿宋"/>
          <w:color w:val="auto"/>
          <w:sz w:val="28"/>
          <w:szCs w:val="28"/>
          <w:highlight w:val="none"/>
          <w:lang w:val="en-US" w:eastAsia="zh-CN"/>
        </w:rPr>
        <w:t>六安市医疗保障局</w:t>
      </w:r>
    </w:p>
    <w:p w14:paraId="523FA13E">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、项目类型：</w:t>
      </w:r>
      <w:r>
        <w:rPr>
          <w:rFonts w:hint="eastAsia" w:ascii="仿宋" w:hAnsi="仿宋" w:eastAsia="仿宋" w:cs="仿宋"/>
          <w:color w:val="auto"/>
          <w:sz w:val="28"/>
          <w:szCs w:val="28"/>
          <w:highlight w:val="none"/>
        </w:rPr>
        <w:t>服务类</w:t>
      </w:r>
    </w:p>
    <w:p w14:paraId="5126419A">
      <w:pPr>
        <w:spacing w:line="360" w:lineRule="auto"/>
        <w:ind w:firstLine="480"/>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服务周期：</w:t>
      </w:r>
      <w:r>
        <w:rPr>
          <w:rFonts w:hint="eastAsia" w:ascii="仿宋" w:hAnsi="仿宋" w:eastAsia="仿宋" w:cs="仿宋"/>
          <w:color w:val="auto"/>
          <w:sz w:val="28"/>
          <w:szCs w:val="28"/>
          <w:highlight w:val="none"/>
        </w:rPr>
        <w:t>1年（合同签订采取1+1+1 模式，合同一年一签，一年服务期满后，采购人对</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人履约情况和服务质量等组织开展考评，考评合格后</w:t>
      </w:r>
      <w:r>
        <w:rPr>
          <w:rFonts w:hint="eastAsia" w:ascii="仿宋" w:hAnsi="仿宋" w:eastAsia="仿宋" w:cs="仿宋"/>
          <w:color w:val="auto"/>
          <w:sz w:val="28"/>
          <w:szCs w:val="28"/>
          <w:highlight w:val="none"/>
          <w:lang w:val="en-US" w:eastAsia="zh-CN"/>
        </w:rPr>
        <w:t>且根据采购人需要</w:t>
      </w:r>
      <w:r>
        <w:rPr>
          <w:rFonts w:hint="eastAsia" w:ascii="仿宋" w:hAnsi="仿宋" w:eastAsia="仿宋" w:cs="仿宋"/>
          <w:color w:val="auto"/>
          <w:sz w:val="28"/>
          <w:szCs w:val="28"/>
          <w:highlight w:val="none"/>
        </w:rPr>
        <w:t>可续签下一年合同，最多续签两次）。</w:t>
      </w:r>
    </w:p>
    <w:p w14:paraId="1022FC8F">
      <w:pPr>
        <w:spacing w:line="360" w:lineRule="auto"/>
        <w:ind w:firstLine="480"/>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六、采购预算：</w:t>
      </w:r>
      <w:r>
        <w:rPr>
          <w:rFonts w:hint="eastAsia" w:ascii="仿宋" w:hAnsi="仿宋" w:eastAsia="仿宋" w:cs="仿宋"/>
          <w:color w:val="auto"/>
          <w:sz w:val="28"/>
          <w:szCs w:val="28"/>
          <w:highlight w:val="none"/>
          <w:lang w:val="en-US" w:eastAsia="zh-CN"/>
        </w:rPr>
        <w:t>28万元/年</w:t>
      </w:r>
    </w:p>
    <w:p w14:paraId="38972AF2">
      <w:pPr>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七、包别划分：</w:t>
      </w:r>
      <w:r>
        <w:rPr>
          <w:rFonts w:hint="eastAsia" w:ascii="仿宋" w:hAnsi="仿宋" w:eastAsia="仿宋" w:cs="仿宋"/>
          <w:color w:val="auto"/>
          <w:sz w:val="28"/>
          <w:szCs w:val="28"/>
          <w:highlight w:val="none"/>
          <w:lang w:val="en-US" w:eastAsia="zh-CN"/>
        </w:rPr>
        <w:t>1个包</w:t>
      </w:r>
    </w:p>
    <w:p w14:paraId="1F2ACD99">
      <w:pPr>
        <w:spacing w:line="360" w:lineRule="auto"/>
        <w:ind w:firstLine="48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八</w:t>
      </w:r>
      <w:r>
        <w:rPr>
          <w:rFonts w:hint="eastAsia" w:ascii="仿宋" w:hAnsi="仿宋" w:eastAsia="仿宋" w:cs="仿宋"/>
          <w:b/>
          <w:bCs/>
          <w:color w:val="auto"/>
          <w:sz w:val="28"/>
          <w:szCs w:val="28"/>
          <w:highlight w:val="none"/>
        </w:rPr>
        <w:t>、供应商资质、资格要求：</w:t>
      </w:r>
    </w:p>
    <w:p w14:paraId="5A54F0BD">
      <w:pPr>
        <w:spacing w:line="360" w:lineRule="auto"/>
        <w:ind w:firstLine="480"/>
        <w:rPr>
          <w:rFonts w:hint="eastAsia" w:ascii="仿宋" w:hAnsi="仿宋" w:eastAsia="仿宋" w:cs="仿宋"/>
          <w:b w:val="0"/>
          <w:bCs w:val="0"/>
          <w:color w:val="auto"/>
          <w:sz w:val="28"/>
          <w:szCs w:val="28"/>
          <w:highlight w:val="none"/>
          <w:lang w:val="en-US" w:eastAsia="zh-CN"/>
        </w:rPr>
      </w:pPr>
      <w:bookmarkStart w:id="10" w:name="_Toc28359014"/>
      <w:bookmarkStart w:id="11" w:name="_Toc28359091"/>
      <w:bookmarkStart w:id="12" w:name="_Toc21367"/>
      <w:bookmarkStart w:id="13" w:name="_Toc24816"/>
      <w:bookmarkStart w:id="14" w:name="_Toc340"/>
      <w:r>
        <w:rPr>
          <w:rFonts w:hint="eastAsia" w:ascii="仿宋" w:hAnsi="仿宋" w:eastAsia="仿宋" w:cs="仿宋"/>
          <w:b w:val="0"/>
          <w:bCs w:val="0"/>
          <w:color w:val="auto"/>
          <w:sz w:val="28"/>
          <w:szCs w:val="28"/>
          <w:highlight w:val="none"/>
          <w:lang w:val="en-US" w:eastAsia="zh-CN"/>
        </w:rPr>
        <w:t>1、满足《中华人民共和国政府采购法》第二十二条规定；</w:t>
      </w:r>
    </w:p>
    <w:p w14:paraId="0C3D55B1">
      <w:pPr>
        <w:spacing w:line="360" w:lineRule="auto"/>
        <w:ind w:firstLine="48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、本项目的特定资格要求：</w:t>
      </w:r>
      <w:r>
        <w:rPr>
          <w:rFonts w:hint="eastAsia" w:ascii="仿宋" w:hAnsi="仿宋" w:eastAsia="仿宋" w:cs="仿宋"/>
          <w:b w:val="0"/>
          <w:bCs w:val="0"/>
          <w:color w:val="auto"/>
          <w:sz w:val="28"/>
          <w:szCs w:val="28"/>
          <w:highlight w:val="none"/>
          <w:lang w:eastAsia="zh-CN"/>
        </w:rPr>
        <w:t>无</w:t>
      </w:r>
    </w:p>
    <w:bookmarkEnd w:id="10"/>
    <w:bookmarkEnd w:id="11"/>
    <w:p w14:paraId="701EC39F">
      <w:pPr>
        <w:spacing w:line="360" w:lineRule="auto"/>
        <w:ind w:firstLine="480"/>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九、发包文件</w:t>
      </w:r>
      <w:r>
        <w:rPr>
          <w:rFonts w:hint="eastAsia" w:ascii="仿宋" w:hAnsi="仿宋" w:eastAsia="仿宋" w:cs="仿宋"/>
          <w:b/>
          <w:bCs/>
          <w:color w:val="auto"/>
          <w:sz w:val="28"/>
          <w:szCs w:val="28"/>
          <w:highlight w:val="none"/>
        </w:rPr>
        <w:t>获取方式：</w:t>
      </w:r>
      <w:bookmarkEnd w:id="12"/>
      <w:bookmarkEnd w:id="13"/>
      <w:bookmarkEnd w:id="14"/>
    </w:p>
    <w:p w14:paraId="59108E9E">
      <w:pPr>
        <w:spacing w:line="360" w:lineRule="auto"/>
        <w:ind w:firstLine="480"/>
        <w:outlineLvl w:val="0"/>
        <w:rPr>
          <w:rFonts w:hint="eastAsia" w:ascii="仿宋" w:hAnsi="仿宋" w:eastAsia="仿宋" w:cs="仿宋"/>
          <w:color w:val="auto"/>
          <w:sz w:val="28"/>
          <w:szCs w:val="28"/>
          <w:highlight w:val="none"/>
          <w:lang w:eastAsia="zh-CN"/>
        </w:rPr>
      </w:pPr>
      <w:bookmarkStart w:id="15" w:name="_Toc17937"/>
      <w:bookmarkStart w:id="16" w:name="_Toc4283"/>
      <w:bookmarkStart w:id="17" w:name="_Toc27708"/>
      <w:r>
        <w:rPr>
          <w:rFonts w:hint="eastAsia" w:ascii="仿宋" w:hAnsi="仿宋" w:eastAsia="仿宋" w:cs="仿宋"/>
          <w:color w:val="auto"/>
          <w:sz w:val="28"/>
          <w:szCs w:val="28"/>
          <w:highlight w:val="none"/>
        </w:rPr>
        <w:t>凡有意参加的供应商，请于公告发布之日起至响应文件递交截止时间前（北京时间，下同），</w:t>
      </w:r>
      <w:r>
        <w:rPr>
          <w:rFonts w:hint="eastAsia" w:ascii="仿宋" w:hAnsi="仿宋" w:eastAsia="仿宋" w:cs="仿宋"/>
          <w:color w:val="auto"/>
          <w:sz w:val="28"/>
          <w:szCs w:val="28"/>
          <w:highlight w:val="none"/>
          <w:lang w:eastAsia="zh-CN"/>
        </w:rPr>
        <w:t>自行从六安市医疗保障局官网下载发包文件。</w:t>
      </w:r>
    </w:p>
    <w:p w14:paraId="52FC1C1F">
      <w:pPr>
        <w:spacing w:line="360" w:lineRule="auto"/>
        <w:ind w:firstLine="480"/>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发包</w:t>
      </w:r>
      <w:r>
        <w:rPr>
          <w:rFonts w:hint="eastAsia" w:ascii="仿宋" w:hAnsi="仿宋" w:eastAsia="仿宋" w:cs="仿宋"/>
          <w:b/>
          <w:bCs/>
          <w:color w:val="auto"/>
          <w:sz w:val="28"/>
          <w:szCs w:val="28"/>
          <w:highlight w:val="none"/>
        </w:rPr>
        <w:t>时间及地点：</w:t>
      </w:r>
      <w:bookmarkEnd w:id="15"/>
      <w:bookmarkEnd w:id="16"/>
      <w:bookmarkEnd w:id="17"/>
    </w:p>
    <w:p w14:paraId="0965884B">
      <w:pPr>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1、发包时间：2025年9月23日9时00分</w:t>
      </w:r>
    </w:p>
    <w:p w14:paraId="31CD6980">
      <w:pPr>
        <w:spacing w:line="360" w:lineRule="auto"/>
        <w:ind w:firstLine="48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2、发包地点：六安市医疗保障局三楼会议室</w:t>
      </w:r>
    </w:p>
    <w:p w14:paraId="31D04DCE">
      <w:pPr>
        <w:spacing w:line="360" w:lineRule="auto"/>
        <w:ind w:firstLine="480"/>
        <w:outlineLvl w:val="0"/>
        <w:rPr>
          <w:rFonts w:hint="eastAsia" w:ascii="仿宋" w:hAnsi="仿宋" w:eastAsia="仿宋" w:cs="仿宋"/>
          <w:b/>
          <w:bCs/>
          <w:color w:val="auto"/>
          <w:sz w:val="28"/>
          <w:szCs w:val="28"/>
          <w:highlight w:val="none"/>
        </w:rPr>
      </w:pPr>
      <w:bookmarkStart w:id="18" w:name="_Toc14910"/>
      <w:bookmarkStart w:id="19" w:name="_Toc9115"/>
      <w:bookmarkStart w:id="20" w:name="_Toc6642"/>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响应</w:t>
      </w:r>
      <w:r>
        <w:rPr>
          <w:rFonts w:hint="eastAsia" w:ascii="仿宋" w:hAnsi="仿宋" w:eastAsia="仿宋" w:cs="仿宋"/>
          <w:b/>
          <w:bCs/>
          <w:color w:val="auto"/>
          <w:sz w:val="28"/>
          <w:szCs w:val="28"/>
          <w:highlight w:val="none"/>
        </w:rPr>
        <w:t>保证金</w:t>
      </w:r>
      <w:bookmarkEnd w:id="18"/>
      <w:bookmarkEnd w:id="19"/>
      <w:bookmarkEnd w:id="20"/>
    </w:p>
    <w:p w14:paraId="5F31645D">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本项目不设置响应保证金</w:t>
      </w:r>
    </w:p>
    <w:p w14:paraId="2B9E9C18">
      <w:pPr>
        <w:spacing w:line="360" w:lineRule="auto"/>
        <w:ind w:firstLine="480"/>
        <w:outlineLvl w:val="0"/>
        <w:rPr>
          <w:rFonts w:hint="eastAsia" w:ascii="仿宋" w:hAnsi="仿宋" w:eastAsia="仿宋" w:cs="仿宋"/>
          <w:b/>
          <w:bCs/>
          <w:color w:val="auto"/>
          <w:sz w:val="28"/>
          <w:szCs w:val="28"/>
          <w:highlight w:val="none"/>
          <w:lang w:eastAsia="zh-CN"/>
        </w:rPr>
      </w:pPr>
      <w:bookmarkStart w:id="21" w:name="_Toc3066"/>
      <w:bookmarkStart w:id="22" w:name="_Toc19315"/>
      <w:bookmarkStart w:id="23" w:name="_Toc10469"/>
      <w:r>
        <w:rPr>
          <w:rFonts w:hint="eastAsia" w:ascii="仿宋" w:hAnsi="仿宋" w:eastAsia="仿宋" w:cs="仿宋"/>
          <w:b/>
          <w:bCs/>
          <w:color w:val="auto"/>
          <w:sz w:val="28"/>
          <w:szCs w:val="28"/>
          <w:highlight w:val="none"/>
          <w:lang w:eastAsia="zh-CN"/>
        </w:rPr>
        <w:t>十二、</w:t>
      </w:r>
      <w:r>
        <w:rPr>
          <w:rFonts w:hint="eastAsia" w:ascii="仿宋" w:hAnsi="仿宋" w:eastAsia="仿宋" w:cs="仿宋"/>
          <w:b/>
          <w:bCs/>
          <w:color w:val="auto"/>
          <w:sz w:val="28"/>
          <w:szCs w:val="28"/>
          <w:highlight w:val="none"/>
        </w:rPr>
        <w:t>其它补充事宜</w:t>
      </w:r>
      <w:bookmarkEnd w:id="21"/>
      <w:bookmarkEnd w:id="22"/>
      <w:bookmarkEnd w:id="23"/>
      <w:r>
        <w:rPr>
          <w:rFonts w:hint="eastAsia" w:ascii="仿宋" w:hAnsi="仿宋" w:eastAsia="仿宋" w:cs="仿宋"/>
          <w:b/>
          <w:bCs/>
          <w:color w:val="auto"/>
          <w:sz w:val="28"/>
          <w:szCs w:val="28"/>
          <w:highlight w:val="none"/>
          <w:lang w:eastAsia="zh-CN"/>
        </w:rPr>
        <w:t>：无</w:t>
      </w:r>
    </w:p>
    <w:p w14:paraId="2514A1FE">
      <w:pPr>
        <w:spacing w:line="360" w:lineRule="auto"/>
        <w:ind w:firstLine="480"/>
        <w:outlineLvl w:val="0"/>
        <w:rPr>
          <w:rFonts w:hint="eastAsia" w:ascii="仿宋" w:hAnsi="仿宋" w:eastAsia="仿宋" w:cs="仿宋"/>
          <w:b/>
          <w:bCs/>
          <w:color w:val="auto"/>
          <w:sz w:val="28"/>
          <w:szCs w:val="28"/>
          <w:highlight w:val="none"/>
        </w:rPr>
      </w:pPr>
      <w:bookmarkStart w:id="24" w:name="_Toc27561"/>
      <w:bookmarkStart w:id="25" w:name="_Toc24305"/>
      <w:bookmarkStart w:id="26" w:name="_Toc12597"/>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、联系方式</w:t>
      </w:r>
      <w:bookmarkEnd w:id="24"/>
      <w:bookmarkEnd w:id="25"/>
      <w:bookmarkEnd w:id="26"/>
    </w:p>
    <w:p w14:paraId="438B6D06">
      <w:pPr>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发包人：六安市医疗保障局</w:t>
      </w:r>
    </w:p>
    <w:p w14:paraId="20948A43">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址：六安市佛子岭路人力资源大厦三楼</w:t>
      </w:r>
    </w:p>
    <w:p w14:paraId="003B21CF">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联系人：刘主任</w:t>
      </w:r>
    </w:p>
    <w:p w14:paraId="1F34401E">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联系电话：</w:t>
      </w:r>
      <w:r>
        <w:rPr>
          <w:rFonts w:hint="eastAsia" w:ascii="仿宋" w:hAnsi="仿宋" w:eastAsia="仿宋" w:cs="仿宋"/>
          <w:color w:val="auto"/>
          <w:sz w:val="28"/>
          <w:szCs w:val="28"/>
          <w:highlight w:val="none"/>
          <w:lang w:val="en-US" w:eastAsia="zh-CN"/>
        </w:rPr>
        <w:t>0564-3376106</w:t>
      </w:r>
    </w:p>
    <w:p w14:paraId="7864B402">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eastAsia="zh-CN"/>
        </w:rPr>
        <w:t>安徽建安工程项目管理有限公司</w:t>
      </w:r>
    </w:p>
    <w:p w14:paraId="604F8451">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地址：六安市文汇大厦</w:t>
      </w:r>
      <w:r>
        <w:rPr>
          <w:rFonts w:hint="eastAsia" w:ascii="仿宋" w:hAnsi="仿宋" w:eastAsia="仿宋" w:cs="仿宋"/>
          <w:color w:val="auto"/>
          <w:sz w:val="28"/>
          <w:szCs w:val="28"/>
          <w:highlight w:val="none"/>
          <w:lang w:val="en-US" w:eastAsia="zh-CN"/>
        </w:rPr>
        <w:t>12楼</w:t>
      </w:r>
      <w:r>
        <w:rPr>
          <w:rFonts w:hint="eastAsia" w:ascii="仿宋" w:hAnsi="仿宋" w:eastAsia="仿宋" w:cs="仿宋"/>
          <w:color w:val="auto"/>
          <w:sz w:val="28"/>
          <w:szCs w:val="28"/>
          <w:highlight w:val="none"/>
          <w:lang w:eastAsia="zh-CN"/>
        </w:rPr>
        <w:t>1223室</w:t>
      </w:r>
    </w:p>
    <w:p w14:paraId="52F95938">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朱工</w:t>
      </w:r>
    </w:p>
    <w:p w14:paraId="0416BC8A">
      <w:pPr>
        <w:spacing w:line="360" w:lineRule="auto"/>
        <w:ind w:firstLine="48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0564-</w:t>
      </w:r>
      <w:bookmarkEnd w:id="8"/>
      <w:bookmarkEnd w:id="9"/>
      <w:r>
        <w:rPr>
          <w:rFonts w:hint="eastAsia" w:ascii="仿宋" w:hAnsi="仿宋" w:eastAsia="仿宋" w:cs="仿宋"/>
          <w:color w:val="auto"/>
          <w:sz w:val="28"/>
          <w:szCs w:val="28"/>
          <w:highlight w:val="none"/>
          <w:lang w:val="en-US" w:eastAsia="zh-CN"/>
        </w:rPr>
        <w:t>5366633</w:t>
      </w:r>
    </w:p>
    <w:p w14:paraId="702E98EF">
      <w:pPr>
        <w:widowControl/>
        <w:shd w:val="clear" w:color="auto" w:fill="FFFFFF"/>
        <w:spacing w:line="500" w:lineRule="exact"/>
        <w:rPr>
          <w:rFonts w:hint="eastAsia" w:ascii="仿宋" w:hAnsi="仿宋" w:eastAsia="仿宋" w:cs="仿宋"/>
          <w:color w:val="auto"/>
          <w:kern w:val="0"/>
          <w:sz w:val="28"/>
          <w:szCs w:val="28"/>
          <w:highlight w:val="none"/>
          <w:lang w:val="en-US" w:eastAsia="zh-CN"/>
        </w:rPr>
      </w:pPr>
    </w:p>
    <w:p w14:paraId="3C33134C">
      <w:pPr>
        <w:widowControl/>
        <w:shd w:val="clear" w:color="auto" w:fill="FFFFFF"/>
        <w:spacing w:line="500" w:lineRule="exact"/>
        <w:rPr>
          <w:rFonts w:hint="eastAsia" w:ascii="仿宋" w:hAnsi="仿宋" w:eastAsia="仿宋" w:cs="仿宋"/>
          <w:color w:val="auto"/>
          <w:kern w:val="0"/>
          <w:sz w:val="28"/>
          <w:szCs w:val="28"/>
          <w:highlight w:val="none"/>
          <w:lang w:val="en-US" w:eastAsia="zh-CN"/>
        </w:rPr>
      </w:pPr>
    </w:p>
    <w:p w14:paraId="6E70EB0D">
      <w:pPr>
        <w:widowControl/>
        <w:shd w:val="clear" w:color="auto" w:fill="FFFFFF"/>
        <w:spacing w:line="500" w:lineRule="exact"/>
        <w:rPr>
          <w:rFonts w:hint="eastAsia" w:ascii="仿宋" w:hAnsi="仿宋" w:eastAsia="仿宋" w:cs="仿宋"/>
          <w:color w:val="auto"/>
          <w:kern w:val="0"/>
          <w:sz w:val="28"/>
          <w:szCs w:val="28"/>
          <w:highlight w:val="none"/>
          <w:lang w:val="en-US" w:eastAsia="zh-CN"/>
        </w:rPr>
      </w:pPr>
    </w:p>
    <w:p w14:paraId="103F570D">
      <w:pPr>
        <w:spacing w:line="360" w:lineRule="auto"/>
        <w:ind w:firstLine="48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sz w:val="28"/>
          <w:szCs w:val="28"/>
          <w:highlight w:val="none"/>
          <w:lang w:eastAsia="zh-CN"/>
        </w:rPr>
        <w:t>六安市医疗保障局</w:t>
      </w:r>
    </w:p>
    <w:p w14:paraId="17026304">
      <w:pPr>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安徽建安工程项目管理有限公司</w:t>
      </w:r>
    </w:p>
    <w:p w14:paraId="2FC10BCB">
      <w:pPr>
        <w:spacing w:line="360" w:lineRule="auto"/>
        <w:ind w:firstLine="48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rPr>
        <w:br w:type="page"/>
      </w:r>
      <w:bookmarkStart w:id="27" w:name="_Toc1996"/>
      <w:bookmarkStart w:id="28" w:name="_Toc24101"/>
      <w:bookmarkStart w:id="29" w:name="_Toc20409"/>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rPr>
        <w:t>供应商须知</w:t>
      </w:r>
      <w:bookmarkEnd w:id="5"/>
      <w:bookmarkEnd w:id="6"/>
      <w:bookmarkEnd w:id="7"/>
      <w:bookmarkEnd w:id="27"/>
      <w:bookmarkEnd w:id="28"/>
      <w:bookmarkEnd w:id="29"/>
    </w:p>
    <w:p w14:paraId="1341610B">
      <w:pPr>
        <w:pStyle w:val="4"/>
        <w:keepNext/>
        <w:keepLines/>
        <w:pageBreakBefore w:val="0"/>
        <w:widowControl w:val="0"/>
        <w:kinsoku/>
        <w:wordWrap/>
        <w:overflowPunct/>
        <w:topLinePunct w:val="0"/>
        <w:autoSpaceDE/>
        <w:autoSpaceDN/>
        <w:bidi w:val="0"/>
        <w:adjustRightInd/>
        <w:snapToGrid/>
        <w:spacing w:before="100" w:after="100" w:line="520" w:lineRule="exact"/>
        <w:ind w:left="0" w:leftChars="0" w:firstLine="562" w:firstLineChars="200"/>
        <w:jc w:val="center"/>
        <w:textAlignment w:val="auto"/>
        <w:rPr>
          <w:rFonts w:hint="eastAsia" w:ascii="仿宋" w:hAnsi="仿宋" w:eastAsia="仿宋" w:cs="仿宋"/>
          <w:color w:val="auto"/>
          <w:sz w:val="28"/>
          <w:szCs w:val="28"/>
          <w:highlight w:val="none"/>
          <w:lang w:eastAsia="zh-CN"/>
        </w:rPr>
      </w:pPr>
      <w:bookmarkStart w:id="30" w:name="_Toc32640"/>
      <w:r>
        <w:rPr>
          <w:rFonts w:hint="eastAsia" w:ascii="仿宋" w:hAnsi="仿宋" w:eastAsia="仿宋" w:cs="仿宋"/>
          <w:color w:val="auto"/>
          <w:sz w:val="28"/>
          <w:szCs w:val="28"/>
          <w:highlight w:val="none"/>
          <w:lang w:eastAsia="zh-CN"/>
        </w:rPr>
        <w:t>（一）须知前附表</w:t>
      </w:r>
      <w:bookmarkEnd w:id="30"/>
    </w:p>
    <w:tbl>
      <w:tblPr>
        <w:tblStyle w:val="33"/>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754"/>
        <w:gridCol w:w="7701"/>
      </w:tblGrid>
      <w:tr w14:paraId="16D2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8" w:hRule="atLeast"/>
          <w:jc w:val="center"/>
        </w:trPr>
        <w:tc>
          <w:tcPr>
            <w:tcW w:w="804" w:type="dxa"/>
            <w:noWrap w:val="0"/>
            <w:vAlign w:val="center"/>
          </w:tcPr>
          <w:p w14:paraId="05B9FBFD">
            <w:pPr>
              <w:pageBreakBefore w:val="0"/>
              <w:kinsoku/>
              <w:overflowPunct/>
              <w:topLinePunct w:val="0"/>
              <w:bidi w:val="0"/>
              <w:spacing w:line="46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754" w:type="dxa"/>
            <w:noWrap w:val="0"/>
            <w:vAlign w:val="center"/>
          </w:tcPr>
          <w:p w14:paraId="43608482">
            <w:pPr>
              <w:pageBreakBefore w:val="0"/>
              <w:kinsoku/>
              <w:overflowPunct/>
              <w:topLinePunct w:val="0"/>
              <w:bidi w:val="0"/>
              <w:spacing w:line="460" w:lineRule="exact"/>
              <w:ind w:left="0" w:leftChars="0" w:firstLine="562" w:firstLineChars="20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内容</w:t>
            </w:r>
          </w:p>
        </w:tc>
        <w:tc>
          <w:tcPr>
            <w:tcW w:w="7701" w:type="dxa"/>
            <w:noWrap w:val="0"/>
            <w:vAlign w:val="center"/>
          </w:tcPr>
          <w:p w14:paraId="1276DB77">
            <w:pPr>
              <w:pStyle w:val="83"/>
              <w:pageBreakBefore w:val="0"/>
              <w:widowControl w:val="0"/>
              <w:kinsoku/>
              <w:overflowPunct/>
              <w:topLinePunct w:val="0"/>
              <w:bidi w:val="0"/>
              <w:spacing w:before="0" w:beforeAutospacing="0" w:after="0" w:afterAutospacing="0" w:line="460" w:lineRule="exact"/>
              <w:jc w:val="center"/>
              <w:rPr>
                <w:rFonts w:hint="eastAsia" w:ascii="仿宋" w:hAnsi="仿宋" w:eastAsia="仿宋" w:cs="仿宋"/>
                <w:bCs w:val="0"/>
                <w:color w:val="auto"/>
                <w:kern w:val="2"/>
                <w:sz w:val="28"/>
                <w:szCs w:val="28"/>
                <w:highlight w:val="none"/>
              </w:rPr>
            </w:pPr>
            <w:r>
              <w:rPr>
                <w:rFonts w:hint="eastAsia" w:ascii="仿宋" w:hAnsi="仿宋" w:eastAsia="仿宋" w:cs="仿宋"/>
                <w:bCs w:val="0"/>
                <w:color w:val="auto"/>
                <w:kern w:val="2"/>
                <w:sz w:val="28"/>
                <w:szCs w:val="28"/>
                <w:highlight w:val="none"/>
              </w:rPr>
              <w:t>说明与要求</w:t>
            </w:r>
          </w:p>
        </w:tc>
      </w:tr>
      <w:tr w14:paraId="1A59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1" w:hRule="atLeast"/>
          <w:jc w:val="center"/>
        </w:trPr>
        <w:tc>
          <w:tcPr>
            <w:tcW w:w="804" w:type="dxa"/>
            <w:noWrap w:val="0"/>
            <w:vAlign w:val="center"/>
          </w:tcPr>
          <w:p w14:paraId="4DC413D4">
            <w:pPr>
              <w:keepNext w:val="0"/>
              <w:keepLines w:val="0"/>
              <w:widowControl/>
              <w:suppressLineNumbers w:val="0"/>
              <w:jc w:val="center"/>
              <w:textAlignment w:val="center"/>
              <w:rPr>
                <w:rFonts w:hint="eastAsia" w:ascii="仿宋" w:hAnsi="仿宋" w:eastAsia="仿宋" w:cs="仿宋"/>
                <w:b/>
                <w:color w:val="auto"/>
                <w:kern w:val="2"/>
                <w:sz w:val="28"/>
                <w:szCs w:val="28"/>
                <w:highlight w:val="none"/>
              </w:rPr>
            </w:pPr>
            <w:r>
              <w:rPr>
                <w:rFonts w:hint="eastAsia" w:ascii="仿宋" w:hAnsi="仿宋" w:eastAsia="仿宋" w:cs="仿宋"/>
                <w:b/>
                <w:bCs/>
                <w:i w:val="0"/>
                <w:iCs w:val="0"/>
                <w:color w:val="auto"/>
                <w:kern w:val="0"/>
                <w:sz w:val="28"/>
                <w:szCs w:val="28"/>
                <w:highlight w:val="none"/>
                <w:u w:val="none"/>
                <w:lang w:val="en-US" w:eastAsia="zh-CN" w:bidi="ar"/>
              </w:rPr>
              <w:t>1</w:t>
            </w:r>
          </w:p>
        </w:tc>
        <w:tc>
          <w:tcPr>
            <w:tcW w:w="1754" w:type="dxa"/>
            <w:noWrap w:val="0"/>
            <w:vAlign w:val="center"/>
          </w:tcPr>
          <w:p w14:paraId="0EC33133">
            <w:pPr>
              <w:pageBreakBefore w:val="0"/>
              <w:kinsoku/>
              <w:overflowPunct/>
              <w:topLinePunct w:val="0"/>
              <w:bidi w:val="0"/>
              <w:spacing w:line="46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lang w:eastAsia="zh-CN"/>
              </w:rPr>
              <w:t>发包人</w:t>
            </w:r>
          </w:p>
        </w:tc>
        <w:tc>
          <w:tcPr>
            <w:tcW w:w="7701" w:type="dxa"/>
            <w:noWrap w:val="0"/>
            <w:vAlign w:val="center"/>
          </w:tcPr>
          <w:p w14:paraId="5CB90CBE">
            <w:pPr>
              <w:pageBreakBefore w:val="0"/>
              <w:kinsoku/>
              <w:overflowPunct/>
              <w:topLinePunct w:val="0"/>
              <w:bidi w:val="0"/>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六安市医疗保障局</w:t>
            </w:r>
          </w:p>
        </w:tc>
      </w:tr>
      <w:tr w14:paraId="56AD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9" w:hRule="atLeast"/>
          <w:jc w:val="center"/>
        </w:trPr>
        <w:tc>
          <w:tcPr>
            <w:tcW w:w="804" w:type="dxa"/>
            <w:noWrap w:val="0"/>
            <w:vAlign w:val="center"/>
          </w:tcPr>
          <w:p w14:paraId="77056535">
            <w:pPr>
              <w:keepNext w:val="0"/>
              <w:keepLines w:val="0"/>
              <w:widowControl/>
              <w:suppressLineNumbers w:val="0"/>
              <w:jc w:val="center"/>
              <w:textAlignment w:val="center"/>
              <w:rPr>
                <w:rFonts w:hint="eastAsia" w:ascii="仿宋" w:hAnsi="仿宋" w:eastAsia="仿宋" w:cs="仿宋"/>
                <w:b/>
                <w:color w:val="auto"/>
                <w:kern w:val="2"/>
                <w:sz w:val="28"/>
                <w:szCs w:val="28"/>
                <w:highlight w:val="none"/>
              </w:rPr>
            </w:pPr>
            <w:r>
              <w:rPr>
                <w:rFonts w:hint="eastAsia" w:ascii="仿宋" w:hAnsi="仿宋" w:eastAsia="仿宋" w:cs="仿宋"/>
                <w:b/>
                <w:bCs/>
                <w:i w:val="0"/>
                <w:iCs w:val="0"/>
                <w:color w:val="auto"/>
                <w:kern w:val="0"/>
                <w:sz w:val="28"/>
                <w:szCs w:val="28"/>
                <w:highlight w:val="none"/>
                <w:u w:val="none"/>
                <w:lang w:val="en-US" w:eastAsia="zh-CN" w:bidi="ar"/>
              </w:rPr>
              <w:t>2</w:t>
            </w:r>
          </w:p>
        </w:tc>
        <w:tc>
          <w:tcPr>
            <w:tcW w:w="1754" w:type="dxa"/>
            <w:noWrap w:val="0"/>
            <w:vAlign w:val="center"/>
          </w:tcPr>
          <w:p w14:paraId="3EE4AFDE">
            <w:pPr>
              <w:pageBreakBefore w:val="0"/>
              <w:kinsoku/>
              <w:overflowPunct/>
              <w:topLinePunct w:val="0"/>
              <w:bidi w:val="0"/>
              <w:spacing w:line="460" w:lineRule="exact"/>
              <w:ind w:firstLine="280" w:firstLineChars="100"/>
              <w:jc w:val="both"/>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代理机构</w:t>
            </w:r>
          </w:p>
        </w:tc>
        <w:tc>
          <w:tcPr>
            <w:tcW w:w="7701" w:type="dxa"/>
            <w:noWrap w:val="0"/>
            <w:vAlign w:val="center"/>
          </w:tcPr>
          <w:p w14:paraId="2F0259C0">
            <w:pPr>
              <w:pageBreakBefore w:val="0"/>
              <w:kinsoku/>
              <w:overflowPunct/>
              <w:topLinePunct w:val="0"/>
              <w:bidi w:val="0"/>
              <w:spacing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r>
              <w:rPr>
                <w:rFonts w:hint="eastAsia" w:ascii="仿宋" w:hAnsi="仿宋" w:eastAsia="仿宋" w:cs="仿宋"/>
                <w:color w:val="auto"/>
                <w:kern w:val="0"/>
                <w:sz w:val="28"/>
                <w:szCs w:val="28"/>
                <w:highlight w:val="none"/>
                <w:lang w:val="en-US" w:eastAsia="zh-CN"/>
              </w:rPr>
              <w:t xml:space="preserve">安徽建安工程项目管理有限公司  </w:t>
            </w:r>
          </w:p>
          <w:p w14:paraId="3E6935A1">
            <w:pPr>
              <w:pageBreakBefore w:val="0"/>
              <w:kinsoku/>
              <w:overflowPunct/>
              <w:topLinePunct w:val="0"/>
              <w:bidi w:val="0"/>
              <w:spacing w:line="460" w:lineRule="exact"/>
              <w:jc w:val="left"/>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六安市文汇大厦</w:t>
            </w:r>
            <w:r>
              <w:rPr>
                <w:rFonts w:hint="eastAsia" w:ascii="仿宋" w:hAnsi="仿宋" w:eastAsia="仿宋" w:cs="仿宋"/>
                <w:color w:val="auto"/>
                <w:sz w:val="28"/>
                <w:szCs w:val="28"/>
                <w:highlight w:val="none"/>
                <w:lang w:val="en-US" w:eastAsia="zh-CN"/>
              </w:rPr>
              <w:t>12楼</w:t>
            </w:r>
            <w:r>
              <w:rPr>
                <w:rFonts w:hint="eastAsia" w:ascii="仿宋" w:hAnsi="仿宋" w:eastAsia="仿宋" w:cs="仿宋"/>
                <w:color w:val="auto"/>
                <w:sz w:val="28"/>
                <w:szCs w:val="28"/>
                <w:highlight w:val="none"/>
                <w:lang w:eastAsia="zh-CN"/>
              </w:rPr>
              <w:t>1223室</w:t>
            </w:r>
          </w:p>
        </w:tc>
      </w:tr>
      <w:tr w14:paraId="6025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6A9D6AA5">
            <w:pPr>
              <w:keepNext w:val="0"/>
              <w:keepLines w:val="0"/>
              <w:widowControl/>
              <w:suppressLineNumbers w:val="0"/>
              <w:jc w:val="center"/>
              <w:textAlignment w:val="center"/>
              <w:rPr>
                <w:rFonts w:hint="eastAsia" w:ascii="仿宋" w:hAnsi="仿宋" w:eastAsia="仿宋" w:cs="仿宋"/>
                <w:b/>
                <w:color w:val="auto"/>
                <w:kern w:val="2"/>
                <w:sz w:val="28"/>
                <w:szCs w:val="28"/>
                <w:highlight w:val="none"/>
              </w:rPr>
            </w:pPr>
            <w:r>
              <w:rPr>
                <w:rFonts w:hint="eastAsia" w:ascii="仿宋" w:hAnsi="仿宋" w:eastAsia="仿宋" w:cs="仿宋"/>
                <w:b/>
                <w:bCs/>
                <w:i w:val="0"/>
                <w:iCs w:val="0"/>
                <w:color w:val="auto"/>
                <w:kern w:val="0"/>
                <w:sz w:val="28"/>
                <w:szCs w:val="28"/>
                <w:highlight w:val="none"/>
                <w:u w:val="none"/>
                <w:lang w:val="en-US" w:eastAsia="zh-CN" w:bidi="ar"/>
              </w:rPr>
              <w:t>3</w:t>
            </w:r>
          </w:p>
        </w:tc>
        <w:tc>
          <w:tcPr>
            <w:tcW w:w="1754" w:type="dxa"/>
            <w:noWrap w:val="0"/>
            <w:vAlign w:val="center"/>
          </w:tcPr>
          <w:p w14:paraId="54C4612D">
            <w:pPr>
              <w:pageBreakBefore w:val="0"/>
              <w:kinsoku/>
              <w:overflowPunct/>
              <w:topLinePunct w:val="0"/>
              <w:bidi w:val="0"/>
              <w:spacing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响应有效期</w:t>
            </w:r>
          </w:p>
        </w:tc>
        <w:tc>
          <w:tcPr>
            <w:tcW w:w="7701" w:type="dxa"/>
            <w:noWrap w:val="0"/>
            <w:vAlign w:val="center"/>
          </w:tcPr>
          <w:p w14:paraId="583796EC">
            <w:pPr>
              <w:pStyle w:val="83"/>
              <w:pageBreakBefore w:val="0"/>
              <w:widowControl w:val="0"/>
              <w:kinsoku/>
              <w:overflowPunct/>
              <w:topLinePunct w:val="0"/>
              <w:bidi w:val="0"/>
              <w:spacing w:before="0" w:beforeAutospacing="0" w:after="0" w:afterAutospacing="0" w:line="460" w:lineRule="exact"/>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响应文件提交</w:t>
            </w:r>
            <w:r>
              <w:rPr>
                <w:rFonts w:hint="eastAsia" w:ascii="仿宋" w:hAnsi="仿宋" w:eastAsia="仿宋" w:cs="仿宋"/>
                <w:b w:val="0"/>
                <w:bCs w:val="0"/>
                <w:color w:val="auto"/>
                <w:sz w:val="28"/>
                <w:szCs w:val="28"/>
                <w:highlight w:val="none"/>
              </w:rPr>
              <w:t>截止日后</w:t>
            </w:r>
            <w:r>
              <w:rPr>
                <w:rFonts w:hint="eastAsia" w:ascii="仿宋" w:hAnsi="仿宋" w:eastAsia="仿宋" w:cs="仿宋"/>
                <w:b w:val="0"/>
                <w:bCs w:val="0"/>
                <w:color w:val="auto"/>
                <w:sz w:val="28"/>
                <w:szCs w:val="28"/>
                <w:highlight w:val="none"/>
                <w:lang w:val="en-US" w:eastAsia="zh-CN"/>
              </w:rPr>
              <w:t>60</w:t>
            </w:r>
            <w:r>
              <w:rPr>
                <w:rFonts w:hint="eastAsia" w:ascii="仿宋" w:hAnsi="仿宋" w:eastAsia="仿宋" w:cs="仿宋"/>
                <w:b w:val="0"/>
                <w:bCs w:val="0"/>
                <w:color w:val="auto"/>
                <w:sz w:val="28"/>
                <w:szCs w:val="28"/>
                <w:highlight w:val="none"/>
              </w:rPr>
              <w:t>天</w:t>
            </w:r>
          </w:p>
        </w:tc>
      </w:tr>
      <w:tr w14:paraId="19FA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288BA56B">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eastAsia="zh-CN"/>
              </w:rPr>
            </w:pPr>
            <w:r>
              <w:rPr>
                <w:rFonts w:hint="eastAsia" w:ascii="仿宋" w:hAnsi="仿宋" w:eastAsia="仿宋" w:cs="仿宋"/>
                <w:b/>
                <w:bCs/>
                <w:i w:val="0"/>
                <w:iCs w:val="0"/>
                <w:color w:val="auto"/>
                <w:kern w:val="0"/>
                <w:sz w:val="28"/>
                <w:szCs w:val="28"/>
                <w:highlight w:val="none"/>
                <w:u w:val="none"/>
                <w:lang w:val="en-US" w:eastAsia="zh-CN" w:bidi="ar"/>
              </w:rPr>
              <w:t>4</w:t>
            </w:r>
          </w:p>
        </w:tc>
        <w:tc>
          <w:tcPr>
            <w:tcW w:w="1754" w:type="dxa"/>
            <w:noWrap w:val="0"/>
            <w:vAlign w:val="center"/>
          </w:tcPr>
          <w:p w14:paraId="2AE37126">
            <w:pPr>
              <w:pageBreakBefore w:val="0"/>
              <w:kinsoku/>
              <w:overflowPunct/>
              <w:topLinePunct w:val="0"/>
              <w:bidi w:val="0"/>
              <w:spacing w:line="460" w:lineRule="exact"/>
              <w:jc w:val="cente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项目类型</w:t>
            </w:r>
          </w:p>
        </w:tc>
        <w:tc>
          <w:tcPr>
            <w:tcW w:w="7701" w:type="dxa"/>
            <w:noWrap w:val="0"/>
            <w:vAlign w:val="center"/>
          </w:tcPr>
          <w:p w14:paraId="3913D462">
            <w:pPr>
              <w:pStyle w:val="83"/>
              <w:pageBreakBefore w:val="0"/>
              <w:widowControl w:val="0"/>
              <w:kinsoku/>
              <w:overflowPunct/>
              <w:topLinePunct w:val="0"/>
              <w:bidi w:val="0"/>
              <w:spacing w:before="0" w:beforeAutospacing="0" w:after="0" w:afterAutospacing="0" w:line="460" w:lineRule="exact"/>
              <w:jc w:val="both"/>
              <w:rPr>
                <w:rFonts w:hint="eastAsia" w:ascii="仿宋" w:hAnsi="仿宋" w:eastAsia="仿宋" w:cs="仿宋"/>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服务类</w:t>
            </w:r>
          </w:p>
        </w:tc>
      </w:tr>
      <w:tr w14:paraId="37C1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9" w:hRule="atLeast"/>
          <w:jc w:val="center"/>
        </w:trPr>
        <w:tc>
          <w:tcPr>
            <w:tcW w:w="804" w:type="dxa"/>
            <w:noWrap w:val="0"/>
            <w:vAlign w:val="center"/>
          </w:tcPr>
          <w:p w14:paraId="6EF44CF7">
            <w:pPr>
              <w:pageBreakBefore w:val="0"/>
              <w:kinsoku/>
              <w:overflowPunct/>
              <w:topLinePunct w:val="0"/>
              <w:bidi w:val="0"/>
              <w:spacing w:line="46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5</w:t>
            </w:r>
          </w:p>
        </w:tc>
        <w:tc>
          <w:tcPr>
            <w:tcW w:w="1754" w:type="dxa"/>
            <w:noWrap w:val="0"/>
            <w:vAlign w:val="center"/>
          </w:tcPr>
          <w:p w14:paraId="00612B20">
            <w:pPr>
              <w:pageBreakBefore w:val="0"/>
              <w:kinsoku/>
              <w:overflowPunct/>
              <w:topLinePunct w:val="0"/>
              <w:bidi w:val="0"/>
              <w:spacing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701" w:type="dxa"/>
            <w:noWrap w:val="0"/>
            <w:vAlign w:val="bottom"/>
          </w:tcPr>
          <w:p w14:paraId="604D8013">
            <w:pPr>
              <w:pageBreakBefore w:val="0"/>
              <w:kinsoku/>
              <w:overflowPunct/>
              <w:topLinePunct w:val="0"/>
              <w:bidi w:val="0"/>
              <w:spacing w:line="46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六安市医疗保障局医保智能客服项目</w:t>
            </w:r>
          </w:p>
        </w:tc>
      </w:tr>
      <w:tr w14:paraId="0760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noWrap w:val="0"/>
            <w:vAlign w:val="center"/>
          </w:tcPr>
          <w:p w14:paraId="0FEC3FA5">
            <w:pPr>
              <w:keepNext w:val="0"/>
              <w:keepLines w:val="0"/>
              <w:widowControl/>
              <w:suppressLineNumbers w:val="0"/>
              <w:jc w:val="center"/>
              <w:textAlignment w:val="center"/>
              <w:rPr>
                <w:rFonts w:hint="eastAsia" w:ascii="仿宋" w:hAnsi="仿宋" w:eastAsia="仿宋" w:cs="仿宋"/>
                <w:b/>
                <w:color w:val="auto"/>
                <w:kern w:val="2"/>
                <w:sz w:val="28"/>
                <w:szCs w:val="28"/>
                <w:highlight w:val="none"/>
              </w:rPr>
            </w:pPr>
            <w:r>
              <w:rPr>
                <w:rFonts w:hint="eastAsia" w:ascii="仿宋" w:hAnsi="仿宋" w:eastAsia="仿宋" w:cs="仿宋"/>
                <w:b/>
                <w:bCs/>
                <w:i w:val="0"/>
                <w:iCs w:val="0"/>
                <w:color w:val="auto"/>
                <w:kern w:val="0"/>
                <w:sz w:val="28"/>
                <w:szCs w:val="28"/>
                <w:highlight w:val="none"/>
                <w:u w:val="none"/>
                <w:lang w:val="en-US" w:eastAsia="zh-CN" w:bidi="ar"/>
              </w:rPr>
              <w:t>6</w:t>
            </w:r>
          </w:p>
        </w:tc>
        <w:tc>
          <w:tcPr>
            <w:tcW w:w="1754" w:type="dxa"/>
            <w:noWrap w:val="0"/>
            <w:vAlign w:val="center"/>
          </w:tcPr>
          <w:p w14:paraId="08187647">
            <w:pPr>
              <w:pageBreakBefore w:val="0"/>
              <w:kinsoku/>
              <w:overflowPunct/>
              <w:topLinePunct w:val="0"/>
              <w:bidi w:val="0"/>
              <w:spacing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7701" w:type="dxa"/>
            <w:noWrap w:val="0"/>
            <w:vAlign w:val="center"/>
          </w:tcPr>
          <w:p w14:paraId="30FD4D06">
            <w:pPr>
              <w:pStyle w:val="83"/>
              <w:pageBreakBefore w:val="0"/>
              <w:widowControl w:val="0"/>
              <w:kinsoku/>
              <w:overflowPunct/>
              <w:topLinePunct w:val="0"/>
              <w:bidi w:val="0"/>
              <w:spacing w:before="0" w:beforeAutospacing="0" w:after="0" w:afterAutospacing="0" w:line="460" w:lineRule="exact"/>
              <w:jc w:val="both"/>
              <w:rPr>
                <w:rFonts w:hint="default" w:ascii="仿宋" w:hAnsi="仿宋" w:eastAsia="仿宋" w:cs="仿宋"/>
                <w:b w:val="0"/>
                <w:bCs w:val="0"/>
                <w:color w:val="auto"/>
                <w:sz w:val="28"/>
                <w:szCs w:val="28"/>
                <w:highlight w:val="none"/>
                <w:lang w:val="en-US"/>
              </w:rPr>
            </w:pPr>
            <w:r>
              <w:rPr>
                <w:rFonts w:hint="eastAsia" w:ascii="仿宋" w:hAnsi="仿宋" w:eastAsia="仿宋" w:cs="仿宋"/>
                <w:b w:val="0"/>
                <w:bCs w:val="0"/>
                <w:color w:val="auto"/>
                <w:kern w:val="0"/>
                <w:sz w:val="28"/>
                <w:szCs w:val="28"/>
                <w:highlight w:val="none"/>
                <w:lang w:val="en-US" w:eastAsia="zh-CN" w:bidi="ar-SA"/>
              </w:rPr>
              <w:t>JA2025-ZB050</w:t>
            </w:r>
          </w:p>
        </w:tc>
      </w:tr>
      <w:tr w14:paraId="709F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1E7D1457">
            <w:pPr>
              <w:keepNext w:val="0"/>
              <w:keepLines w:val="0"/>
              <w:widowControl/>
              <w:suppressLineNumbers w:val="0"/>
              <w:jc w:val="center"/>
              <w:textAlignment w:val="center"/>
              <w:rPr>
                <w:rFonts w:hint="eastAsia" w:ascii="仿宋" w:hAnsi="仿宋" w:eastAsia="仿宋" w:cs="仿宋"/>
                <w:b/>
                <w:color w:val="auto"/>
                <w:kern w:val="2"/>
                <w:sz w:val="28"/>
                <w:szCs w:val="28"/>
                <w:highlight w:val="none"/>
              </w:rPr>
            </w:pPr>
            <w:r>
              <w:rPr>
                <w:rFonts w:hint="eastAsia" w:ascii="仿宋" w:hAnsi="仿宋" w:eastAsia="仿宋" w:cs="仿宋"/>
                <w:b/>
                <w:bCs/>
                <w:i w:val="0"/>
                <w:iCs w:val="0"/>
                <w:color w:val="auto"/>
                <w:kern w:val="0"/>
                <w:sz w:val="28"/>
                <w:szCs w:val="28"/>
                <w:highlight w:val="none"/>
                <w:u w:val="none"/>
                <w:lang w:val="en-US" w:eastAsia="zh-CN" w:bidi="ar"/>
              </w:rPr>
              <w:t>7</w:t>
            </w:r>
          </w:p>
        </w:tc>
        <w:tc>
          <w:tcPr>
            <w:tcW w:w="1754" w:type="dxa"/>
            <w:noWrap w:val="0"/>
            <w:vAlign w:val="center"/>
          </w:tcPr>
          <w:p w14:paraId="43EFBA09">
            <w:pPr>
              <w:pageBreakBefore w:val="0"/>
              <w:kinsoku/>
              <w:overflowPunct/>
              <w:topLinePunct w:val="0"/>
              <w:bidi w:val="0"/>
              <w:spacing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7701" w:type="dxa"/>
            <w:noWrap w:val="0"/>
            <w:vAlign w:val="center"/>
          </w:tcPr>
          <w:p w14:paraId="5DFD9EE3">
            <w:pPr>
              <w:rPr>
                <w:rFonts w:hint="default" w:ascii="仿宋" w:hAnsi="仿宋" w:eastAsia="仿宋" w:cs="仿宋"/>
                <w:b w:val="0"/>
                <w:bCs w:val="0"/>
                <w:color w:val="auto"/>
                <w:sz w:val="28"/>
                <w:szCs w:val="28"/>
                <w:highlight w:val="none"/>
                <w:lang w:val="en-US"/>
              </w:rPr>
            </w:pPr>
            <w:r>
              <w:rPr>
                <w:rFonts w:hint="eastAsia" w:ascii="仿宋" w:hAnsi="仿宋" w:eastAsia="仿宋" w:cs="仿宋"/>
                <w:b w:val="0"/>
                <w:bCs w:val="0"/>
                <w:color w:val="auto"/>
                <w:kern w:val="0"/>
                <w:sz w:val="28"/>
                <w:szCs w:val="28"/>
                <w:highlight w:val="none"/>
                <w:lang w:val="en-US" w:eastAsia="zh-CN" w:bidi="ar-SA"/>
              </w:rPr>
              <w:t>合同签订后支付50%的预付款，剩余款项待服务期满后一次性付清。</w:t>
            </w:r>
          </w:p>
        </w:tc>
      </w:tr>
      <w:tr w14:paraId="017C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4A32D8F8">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8</w:t>
            </w:r>
          </w:p>
        </w:tc>
        <w:tc>
          <w:tcPr>
            <w:tcW w:w="1754" w:type="dxa"/>
            <w:noWrap w:val="0"/>
            <w:vAlign w:val="center"/>
          </w:tcPr>
          <w:p w14:paraId="50F6210B">
            <w:pPr>
              <w:pageBreakBefore w:val="0"/>
              <w:kinsoku/>
              <w:overflowPunct/>
              <w:topLinePunct w:val="0"/>
              <w:bidi w:val="0"/>
              <w:spacing w:line="46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服务期</w:t>
            </w:r>
          </w:p>
        </w:tc>
        <w:tc>
          <w:tcPr>
            <w:tcW w:w="7701" w:type="dxa"/>
            <w:noWrap w:val="0"/>
            <w:vAlign w:val="center"/>
          </w:tcPr>
          <w:p w14:paraId="15D477D1">
            <w:pPr>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bidi="ar-SA"/>
              </w:rPr>
              <w:t>1年（合同签订采取1+1+1 模式，合同一年一签，一年服务期满后，采购人对成交人履约情况和服务质量等组织开展考评，考评合格后且资金落实方可续签下一年合同，最多续签两次）。</w:t>
            </w:r>
          </w:p>
        </w:tc>
      </w:tr>
      <w:tr w14:paraId="2450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0E5AB45B">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9</w:t>
            </w:r>
          </w:p>
        </w:tc>
        <w:tc>
          <w:tcPr>
            <w:tcW w:w="1754" w:type="dxa"/>
            <w:noWrap w:val="0"/>
            <w:vAlign w:val="center"/>
          </w:tcPr>
          <w:p w14:paraId="2EC17E70">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Cs/>
                <w:color w:val="auto"/>
                <w:kern w:val="2"/>
                <w:sz w:val="28"/>
                <w:szCs w:val="28"/>
                <w:highlight w:val="none"/>
                <w:lang w:eastAsia="zh-CN"/>
              </w:rPr>
              <w:t>代理</w:t>
            </w:r>
            <w:r>
              <w:rPr>
                <w:rFonts w:hint="eastAsia" w:ascii="仿宋" w:hAnsi="仿宋" w:eastAsia="仿宋" w:cs="仿宋"/>
                <w:bCs/>
                <w:color w:val="auto"/>
                <w:kern w:val="2"/>
                <w:sz w:val="28"/>
                <w:szCs w:val="28"/>
                <w:highlight w:val="none"/>
              </w:rPr>
              <w:t>服务费</w:t>
            </w:r>
          </w:p>
        </w:tc>
        <w:tc>
          <w:tcPr>
            <w:tcW w:w="7701" w:type="dxa"/>
            <w:noWrap w:val="0"/>
            <w:vAlign w:val="center"/>
          </w:tcPr>
          <w:p w14:paraId="0E16780C">
            <w:pPr>
              <w:rPr>
                <w:rFonts w:hint="default" w:ascii="仿宋" w:hAnsi="仿宋" w:eastAsia="仿宋" w:cs="仿宋"/>
                <w:b/>
                <w:bCs/>
                <w:color w:val="auto"/>
                <w:sz w:val="28"/>
                <w:szCs w:val="28"/>
                <w:highlight w:val="none"/>
                <w:lang w:val="en-US"/>
              </w:rPr>
            </w:pPr>
            <w:r>
              <w:rPr>
                <w:rFonts w:hint="eastAsia" w:ascii="仿宋" w:hAnsi="仿宋" w:eastAsia="仿宋" w:cs="仿宋"/>
                <w:b w:val="0"/>
                <w:bCs w:val="0"/>
                <w:color w:val="auto"/>
                <w:kern w:val="0"/>
                <w:sz w:val="28"/>
                <w:szCs w:val="28"/>
                <w:highlight w:val="none"/>
                <w:lang w:val="en-US" w:eastAsia="zh-CN" w:bidi="ar-SA"/>
              </w:rPr>
              <w:t>代理服务费由成交供应商支付，以成交金额为计算基础，按照国家计委计价格【2002】1980号文件规定收取，专家评审费据实收取，以上费用由成交供应商在领取成交通知书时支付。</w:t>
            </w:r>
          </w:p>
        </w:tc>
      </w:tr>
      <w:tr w14:paraId="199C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4380739D">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10</w:t>
            </w:r>
          </w:p>
        </w:tc>
        <w:tc>
          <w:tcPr>
            <w:tcW w:w="1754" w:type="dxa"/>
            <w:noWrap w:val="0"/>
            <w:vAlign w:val="center"/>
          </w:tcPr>
          <w:p w14:paraId="5AEE37AE">
            <w:pPr>
              <w:pStyle w:val="86"/>
              <w:pageBreakBefore w:val="0"/>
              <w:pBdr>
                <w:bottom w:val="none" w:color="auto" w:sz="0" w:space="0"/>
              </w:pBdr>
              <w:tabs>
                <w:tab w:val="clear" w:pos="4153"/>
                <w:tab w:val="clear" w:pos="8306"/>
              </w:tabs>
              <w:kinsoku/>
              <w:overflowPunct/>
              <w:topLinePunct w:val="0"/>
              <w:bidi w:val="0"/>
              <w:adjustRightInd/>
              <w:spacing w:line="44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履约保证金</w:t>
            </w:r>
          </w:p>
        </w:tc>
        <w:tc>
          <w:tcPr>
            <w:tcW w:w="7701" w:type="dxa"/>
            <w:noWrap w:val="0"/>
            <w:vAlign w:val="center"/>
          </w:tcPr>
          <w:p w14:paraId="20503094">
            <w:pPr>
              <w:pageBreakBefore w:val="0"/>
              <w:kinsoku/>
              <w:overflowPunct/>
              <w:topLinePunct w:val="0"/>
              <w:bidi w:val="0"/>
              <w:spacing w:line="300" w:lineRule="exac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本项目不设置履约保证金。</w:t>
            </w:r>
          </w:p>
        </w:tc>
      </w:tr>
      <w:tr w14:paraId="062E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7F529C21">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11</w:t>
            </w:r>
          </w:p>
        </w:tc>
        <w:tc>
          <w:tcPr>
            <w:tcW w:w="1754" w:type="dxa"/>
            <w:noWrap w:val="0"/>
            <w:vAlign w:val="center"/>
          </w:tcPr>
          <w:p w14:paraId="446EB89B">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勘察现场</w:t>
            </w:r>
          </w:p>
        </w:tc>
        <w:tc>
          <w:tcPr>
            <w:tcW w:w="7701" w:type="dxa"/>
            <w:noWrap w:val="0"/>
            <w:vAlign w:val="center"/>
          </w:tcPr>
          <w:p w14:paraId="3234A755">
            <w:pPr>
              <w:pStyle w:val="86"/>
              <w:pageBreakBefore w:val="0"/>
              <w:pBdr>
                <w:bottom w:val="none" w:color="auto" w:sz="0" w:space="0"/>
              </w:pBdr>
              <w:tabs>
                <w:tab w:val="clear" w:pos="4153"/>
                <w:tab w:val="clear" w:pos="8306"/>
              </w:tabs>
              <w:kinsoku/>
              <w:overflowPunct/>
              <w:topLinePunct w:val="0"/>
              <w:bidi w:val="0"/>
              <w:adjustRightInd/>
              <w:spacing w:line="460" w:lineRule="exact"/>
              <w:jc w:val="both"/>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请各</w:t>
            </w:r>
            <w:r>
              <w:rPr>
                <w:rFonts w:hint="eastAsia" w:ascii="仿宋" w:hAnsi="仿宋" w:eastAsia="仿宋" w:cs="仿宋"/>
                <w:bCs/>
                <w:color w:val="auto"/>
                <w:kern w:val="2"/>
                <w:sz w:val="28"/>
                <w:szCs w:val="28"/>
                <w:highlight w:val="none"/>
                <w:lang w:eastAsia="zh-CN"/>
              </w:rPr>
              <w:t>供应商</w:t>
            </w:r>
            <w:r>
              <w:rPr>
                <w:rFonts w:hint="eastAsia" w:ascii="仿宋" w:hAnsi="仿宋" w:eastAsia="仿宋" w:cs="仿宋"/>
                <w:bCs/>
                <w:color w:val="auto"/>
                <w:kern w:val="2"/>
                <w:sz w:val="28"/>
                <w:szCs w:val="28"/>
                <w:highlight w:val="none"/>
              </w:rPr>
              <w:t xml:space="preserve">联系采购单位自行勘踏。 </w:t>
            </w:r>
          </w:p>
        </w:tc>
      </w:tr>
      <w:tr w14:paraId="4044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228F781B">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12</w:t>
            </w:r>
          </w:p>
        </w:tc>
        <w:tc>
          <w:tcPr>
            <w:tcW w:w="1754" w:type="dxa"/>
            <w:noWrap w:val="0"/>
            <w:vAlign w:val="center"/>
          </w:tcPr>
          <w:p w14:paraId="3DB90270">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质疑与答疑</w:t>
            </w:r>
          </w:p>
        </w:tc>
        <w:tc>
          <w:tcPr>
            <w:tcW w:w="7701" w:type="dxa"/>
            <w:noWrap w:val="0"/>
            <w:vAlign w:val="center"/>
          </w:tcPr>
          <w:p w14:paraId="23E70F86">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lang w:val="en-US" w:eastAsia="zh-CN"/>
              </w:rPr>
            </w:pPr>
            <w:r>
              <w:rPr>
                <w:rFonts w:hint="eastAsia" w:ascii="仿宋" w:hAnsi="仿宋" w:eastAsia="仿宋" w:cs="仿宋"/>
                <w:bCs/>
                <w:color w:val="auto"/>
                <w:kern w:val="2"/>
                <w:sz w:val="28"/>
                <w:szCs w:val="28"/>
                <w:highlight w:val="none"/>
              </w:rPr>
              <w:t>供应商对</w:t>
            </w:r>
            <w:r>
              <w:rPr>
                <w:rFonts w:hint="eastAsia" w:ascii="仿宋" w:hAnsi="仿宋" w:eastAsia="仿宋" w:cs="仿宋"/>
                <w:bCs/>
                <w:color w:val="auto"/>
                <w:kern w:val="2"/>
                <w:sz w:val="28"/>
                <w:szCs w:val="28"/>
                <w:highlight w:val="none"/>
                <w:lang w:eastAsia="zh-CN"/>
              </w:rPr>
              <w:t>发包文件</w:t>
            </w:r>
            <w:r>
              <w:rPr>
                <w:rFonts w:hint="eastAsia" w:ascii="仿宋" w:hAnsi="仿宋" w:eastAsia="仿宋" w:cs="仿宋"/>
                <w:bCs/>
                <w:color w:val="auto"/>
                <w:kern w:val="2"/>
                <w:sz w:val="28"/>
                <w:szCs w:val="28"/>
                <w:highlight w:val="none"/>
              </w:rPr>
              <w:t>如有疑问，应在投标截止时间</w:t>
            </w:r>
            <w:r>
              <w:rPr>
                <w:rFonts w:hint="eastAsia" w:ascii="仿宋" w:hAnsi="仿宋" w:eastAsia="仿宋" w:cs="仿宋"/>
                <w:bCs/>
                <w:color w:val="auto"/>
                <w:kern w:val="2"/>
                <w:sz w:val="28"/>
                <w:szCs w:val="28"/>
                <w:highlight w:val="none"/>
                <w:lang w:val="en-US" w:eastAsia="zh-CN"/>
              </w:rPr>
              <w:t>3</w:t>
            </w:r>
            <w:r>
              <w:rPr>
                <w:rFonts w:hint="eastAsia" w:ascii="仿宋" w:hAnsi="仿宋" w:eastAsia="仿宋" w:cs="仿宋"/>
                <w:bCs/>
                <w:color w:val="auto"/>
                <w:kern w:val="2"/>
                <w:sz w:val="28"/>
                <w:szCs w:val="28"/>
                <w:highlight w:val="none"/>
              </w:rPr>
              <w:t>日前以电子邮件的形式向代理机构（852552408@qq.com）提出（无需递交纸质版），提出</w:t>
            </w:r>
            <w:r>
              <w:rPr>
                <w:rFonts w:hint="eastAsia" w:ascii="仿宋" w:hAnsi="仿宋" w:eastAsia="仿宋" w:cs="仿宋"/>
                <w:bCs/>
                <w:color w:val="auto"/>
                <w:kern w:val="2"/>
                <w:sz w:val="28"/>
                <w:szCs w:val="28"/>
                <w:highlight w:val="none"/>
                <w:lang w:eastAsia="zh-CN"/>
              </w:rPr>
              <w:t>质疑</w:t>
            </w:r>
            <w:r>
              <w:rPr>
                <w:rFonts w:hint="eastAsia" w:ascii="仿宋" w:hAnsi="仿宋" w:eastAsia="仿宋" w:cs="仿宋"/>
                <w:bCs/>
                <w:color w:val="auto"/>
                <w:kern w:val="2"/>
                <w:sz w:val="28"/>
                <w:szCs w:val="28"/>
                <w:highlight w:val="none"/>
              </w:rPr>
              <w:t>时须注明项目名称及项目编号</w:t>
            </w:r>
            <w:r>
              <w:rPr>
                <w:rFonts w:hint="eastAsia" w:ascii="仿宋" w:hAnsi="仿宋" w:eastAsia="仿宋" w:cs="仿宋"/>
                <w:bCs/>
                <w:color w:val="auto"/>
                <w:kern w:val="2"/>
                <w:sz w:val="28"/>
                <w:szCs w:val="28"/>
                <w:highlight w:val="none"/>
                <w:lang w:eastAsia="zh-CN"/>
              </w:rPr>
              <w:t>、联系方式等信息</w:t>
            </w:r>
            <w:r>
              <w:rPr>
                <w:rFonts w:hint="eastAsia" w:ascii="仿宋" w:hAnsi="仿宋" w:eastAsia="仿宋" w:cs="仿宋"/>
                <w:bCs/>
                <w:color w:val="auto"/>
                <w:kern w:val="2"/>
                <w:sz w:val="28"/>
                <w:szCs w:val="28"/>
                <w:highlight w:val="none"/>
              </w:rPr>
              <w:t>。</w:t>
            </w:r>
            <w:r>
              <w:rPr>
                <w:rFonts w:hint="eastAsia" w:ascii="仿宋" w:hAnsi="仿宋" w:eastAsia="仿宋" w:cs="仿宋"/>
                <w:bCs/>
                <w:color w:val="auto"/>
                <w:kern w:val="2"/>
                <w:sz w:val="28"/>
                <w:szCs w:val="28"/>
                <w:highlight w:val="none"/>
                <w:lang w:eastAsia="zh-CN"/>
              </w:rPr>
              <w:t>发包人</w:t>
            </w:r>
            <w:r>
              <w:rPr>
                <w:rFonts w:hint="eastAsia" w:ascii="仿宋" w:hAnsi="仿宋" w:eastAsia="仿宋" w:cs="仿宋"/>
                <w:bCs/>
                <w:color w:val="auto"/>
                <w:kern w:val="2"/>
                <w:sz w:val="28"/>
                <w:szCs w:val="28"/>
                <w:highlight w:val="none"/>
              </w:rPr>
              <w:t>将会同代理机构对有必要答复的问题，在规定时间统一答复但不说明问题的来源。</w:t>
            </w:r>
            <w:r>
              <w:rPr>
                <w:rFonts w:hint="eastAsia" w:ascii="仿宋" w:hAnsi="仿宋" w:eastAsia="仿宋" w:cs="仿宋"/>
                <w:bCs/>
                <w:color w:val="auto"/>
                <w:kern w:val="2"/>
                <w:sz w:val="28"/>
                <w:szCs w:val="28"/>
                <w:highlight w:val="none"/>
                <w:lang w:eastAsia="zh-CN"/>
              </w:rPr>
              <w:t>（提问或者质疑材料必须预留联系方式，以方便接收答疑回复）。</w:t>
            </w:r>
          </w:p>
        </w:tc>
      </w:tr>
      <w:tr w14:paraId="587B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1F428FFF">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13</w:t>
            </w:r>
          </w:p>
        </w:tc>
        <w:tc>
          <w:tcPr>
            <w:tcW w:w="1754" w:type="dxa"/>
            <w:noWrap w:val="0"/>
            <w:vAlign w:val="center"/>
          </w:tcPr>
          <w:p w14:paraId="5A8C9C40">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lang w:eastAsia="zh-CN"/>
              </w:rPr>
              <w:t>响应</w:t>
            </w:r>
            <w:r>
              <w:rPr>
                <w:rFonts w:hint="eastAsia" w:ascii="仿宋" w:hAnsi="仿宋" w:eastAsia="仿宋" w:cs="仿宋"/>
                <w:bCs/>
                <w:color w:val="auto"/>
                <w:kern w:val="2"/>
                <w:sz w:val="28"/>
                <w:szCs w:val="28"/>
                <w:highlight w:val="none"/>
              </w:rPr>
              <w:t>文件份数及要求</w:t>
            </w:r>
          </w:p>
        </w:tc>
        <w:tc>
          <w:tcPr>
            <w:tcW w:w="7701" w:type="dxa"/>
            <w:noWrap w:val="0"/>
            <w:vAlign w:val="center"/>
          </w:tcPr>
          <w:p w14:paraId="61A428FA">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正本1份、副本</w:t>
            </w:r>
            <w:r>
              <w:rPr>
                <w:rFonts w:hint="eastAsia" w:ascii="仿宋" w:hAnsi="仿宋" w:eastAsia="仿宋" w:cs="仿宋"/>
                <w:bCs/>
                <w:color w:val="auto"/>
                <w:kern w:val="2"/>
                <w:sz w:val="28"/>
                <w:szCs w:val="28"/>
                <w:highlight w:val="none"/>
                <w:lang w:val="en-US" w:eastAsia="zh-CN"/>
              </w:rPr>
              <w:t>3</w:t>
            </w:r>
            <w:r>
              <w:rPr>
                <w:rFonts w:hint="eastAsia" w:ascii="仿宋" w:hAnsi="仿宋" w:eastAsia="仿宋" w:cs="仿宋"/>
                <w:bCs/>
                <w:color w:val="auto"/>
                <w:kern w:val="2"/>
                <w:sz w:val="28"/>
                <w:szCs w:val="28"/>
                <w:highlight w:val="none"/>
              </w:rPr>
              <w:t>份；胶装成册、密封提交。</w:t>
            </w:r>
          </w:p>
        </w:tc>
      </w:tr>
      <w:tr w14:paraId="01B2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23464A00">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14</w:t>
            </w:r>
          </w:p>
        </w:tc>
        <w:tc>
          <w:tcPr>
            <w:tcW w:w="1754" w:type="dxa"/>
            <w:noWrap w:val="0"/>
            <w:vAlign w:val="center"/>
          </w:tcPr>
          <w:p w14:paraId="4A907547">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递交</w:t>
            </w:r>
            <w:r>
              <w:rPr>
                <w:rFonts w:hint="eastAsia" w:ascii="仿宋" w:hAnsi="仿宋" w:eastAsia="仿宋" w:cs="仿宋"/>
                <w:bCs/>
                <w:color w:val="auto"/>
                <w:kern w:val="2"/>
                <w:sz w:val="28"/>
                <w:szCs w:val="28"/>
                <w:highlight w:val="none"/>
                <w:lang w:eastAsia="zh-CN"/>
              </w:rPr>
              <w:t>响应</w:t>
            </w:r>
            <w:r>
              <w:rPr>
                <w:rFonts w:hint="eastAsia" w:ascii="仿宋" w:hAnsi="仿宋" w:eastAsia="仿宋" w:cs="仿宋"/>
                <w:bCs/>
                <w:color w:val="auto"/>
                <w:kern w:val="2"/>
                <w:sz w:val="28"/>
                <w:szCs w:val="28"/>
                <w:highlight w:val="none"/>
              </w:rPr>
              <w:t>文件注意事项</w:t>
            </w:r>
          </w:p>
        </w:tc>
        <w:tc>
          <w:tcPr>
            <w:tcW w:w="7701" w:type="dxa"/>
            <w:noWrap w:val="0"/>
            <w:vAlign w:val="center"/>
          </w:tcPr>
          <w:p w14:paraId="0ADC91C4">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lang w:eastAsia="zh-CN"/>
              </w:rPr>
              <w:t>响应文件</w:t>
            </w:r>
            <w:r>
              <w:rPr>
                <w:rFonts w:hint="eastAsia" w:ascii="仿宋" w:hAnsi="仿宋" w:eastAsia="仿宋" w:cs="仿宋"/>
                <w:bCs/>
                <w:color w:val="auto"/>
                <w:kern w:val="2"/>
                <w:sz w:val="28"/>
                <w:szCs w:val="28"/>
                <w:highlight w:val="none"/>
              </w:rPr>
              <w:t>必须在</w:t>
            </w:r>
            <w:r>
              <w:rPr>
                <w:rFonts w:hint="eastAsia" w:ascii="仿宋" w:hAnsi="仿宋" w:eastAsia="仿宋" w:cs="仿宋"/>
                <w:bCs/>
                <w:color w:val="auto"/>
                <w:kern w:val="2"/>
                <w:sz w:val="28"/>
                <w:szCs w:val="28"/>
                <w:highlight w:val="none"/>
                <w:lang w:eastAsia="zh-CN"/>
              </w:rPr>
              <w:t>发包</w:t>
            </w:r>
            <w:r>
              <w:rPr>
                <w:rFonts w:hint="eastAsia" w:ascii="仿宋" w:hAnsi="仿宋" w:eastAsia="仿宋" w:cs="仿宋"/>
                <w:bCs/>
                <w:color w:val="auto"/>
                <w:kern w:val="2"/>
                <w:sz w:val="28"/>
                <w:szCs w:val="28"/>
                <w:highlight w:val="none"/>
              </w:rPr>
              <w:t>截止时间前递交。</w:t>
            </w:r>
          </w:p>
        </w:tc>
      </w:tr>
      <w:tr w14:paraId="01BE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14:paraId="70D413FA">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15</w:t>
            </w:r>
          </w:p>
        </w:tc>
        <w:tc>
          <w:tcPr>
            <w:tcW w:w="1754" w:type="dxa"/>
            <w:noWrap w:val="0"/>
            <w:vAlign w:val="center"/>
          </w:tcPr>
          <w:p w14:paraId="1D5C78B5">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备注一</w:t>
            </w:r>
          </w:p>
        </w:tc>
        <w:tc>
          <w:tcPr>
            <w:tcW w:w="7701" w:type="dxa"/>
            <w:noWrap w:val="0"/>
            <w:vAlign w:val="center"/>
          </w:tcPr>
          <w:p w14:paraId="07C84474">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1、存在以下不良信用记录情形之一的，不得推荐为成交候选供应商</w:t>
            </w:r>
            <w:r>
              <w:rPr>
                <w:rFonts w:hint="eastAsia" w:ascii="仿宋" w:hAnsi="仿宋" w:eastAsia="仿宋" w:cs="仿宋"/>
                <w:bCs/>
                <w:color w:val="auto"/>
                <w:kern w:val="2"/>
                <w:sz w:val="28"/>
                <w:szCs w:val="28"/>
                <w:highlight w:val="none"/>
                <w:lang w:val="en-US" w:eastAsia="zh-CN"/>
              </w:rPr>
              <w:t>,评审时评审小组应当按照下列第3条不良信用记录查询渠道对供应商是否存在不良信用记录进行查询</w:t>
            </w:r>
            <w:r>
              <w:rPr>
                <w:rFonts w:hint="eastAsia" w:ascii="仿宋" w:hAnsi="仿宋" w:eastAsia="仿宋" w:cs="仿宋"/>
                <w:bCs/>
                <w:color w:val="auto"/>
                <w:kern w:val="2"/>
                <w:sz w:val="28"/>
                <w:szCs w:val="28"/>
                <w:highlight w:val="none"/>
              </w:rPr>
              <w:t>：</w:t>
            </w:r>
          </w:p>
          <w:p w14:paraId="30538C9B">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（1）供应商被人民法院列入失信被执行人的；</w:t>
            </w:r>
          </w:p>
          <w:p w14:paraId="25123C83">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（2）供应商被</w:t>
            </w:r>
            <w:r>
              <w:rPr>
                <w:rFonts w:hint="eastAsia" w:ascii="仿宋" w:hAnsi="仿宋" w:eastAsia="仿宋" w:cs="仿宋"/>
                <w:bCs/>
                <w:color w:val="auto"/>
                <w:kern w:val="2"/>
                <w:sz w:val="28"/>
                <w:szCs w:val="28"/>
                <w:highlight w:val="none"/>
                <w:lang w:eastAsia="zh-CN"/>
              </w:rPr>
              <w:t>市场监督管理部门</w:t>
            </w:r>
            <w:r>
              <w:rPr>
                <w:rFonts w:hint="eastAsia" w:ascii="仿宋" w:hAnsi="仿宋" w:eastAsia="仿宋" w:cs="仿宋"/>
                <w:bCs/>
                <w:color w:val="auto"/>
                <w:kern w:val="2"/>
                <w:sz w:val="28"/>
                <w:szCs w:val="28"/>
                <w:highlight w:val="none"/>
              </w:rPr>
              <w:t>列入企业经营异常名录的；</w:t>
            </w:r>
          </w:p>
          <w:p w14:paraId="58260B20">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（3）供应商被税务部门列入重大税收违法案件当事人名单的；</w:t>
            </w:r>
          </w:p>
          <w:p w14:paraId="560B5101">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（4）供应商被政府采购监管部门列入政府采购严重违法失信行为记录名单的。</w:t>
            </w:r>
          </w:p>
          <w:p w14:paraId="06CB8DBA">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2、联合体供应商，联合体任何一方存在上述不良信用记录的，视同联合体存在不良信用记录。</w:t>
            </w:r>
          </w:p>
          <w:p w14:paraId="47E2DB8F">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3、不良信用记录查询渠道如下：</w:t>
            </w:r>
          </w:p>
          <w:p w14:paraId="29ACD04F">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（1）失信被执行人：信用中国官网（www.creditchina.gov.cn）</w:t>
            </w:r>
          </w:p>
          <w:p w14:paraId="19350C77">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（2）企业经营异常名录：信用中国官网（www.creditchina.gov.cn）</w:t>
            </w:r>
          </w:p>
          <w:p w14:paraId="57D7F9BB">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（3）重大税收违法案件当事人名单：信用中国官网（www.creditchina.gov.cn）</w:t>
            </w:r>
          </w:p>
          <w:p w14:paraId="409AA1C9">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（4）政府采购严重违法失信行为记录名单：中国政府采购官网（www.ccgp.gov.cn）</w:t>
            </w:r>
          </w:p>
        </w:tc>
      </w:tr>
      <w:tr w14:paraId="1604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14:paraId="68708A0C">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16</w:t>
            </w:r>
          </w:p>
        </w:tc>
        <w:tc>
          <w:tcPr>
            <w:tcW w:w="1754" w:type="dxa"/>
            <w:noWrap w:val="0"/>
            <w:vAlign w:val="center"/>
          </w:tcPr>
          <w:p w14:paraId="382DEFD5">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备注二</w:t>
            </w:r>
          </w:p>
        </w:tc>
        <w:tc>
          <w:tcPr>
            <w:tcW w:w="7701" w:type="dxa"/>
            <w:noWrap w:val="0"/>
            <w:vAlign w:val="center"/>
          </w:tcPr>
          <w:p w14:paraId="3E8AB933">
            <w:pPr>
              <w:pStyle w:val="86"/>
              <w:pageBreakBefore w:val="0"/>
              <w:pBdr>
                <w:bottom w:val="none" w:color="auto" w:sz="0" w:space="0"/>
              </w:pBdr>
              <w:tabs>
                <w:tab w:val="clear" w:pos="4153"/>
                <w:tab w:val="clear" w:pos="8306"/>
              </w:tabs>
              <w:kinsoku/>
              <w:overflowPunct/>
              <w:topLinePunct w:val="0"/>
              <w:bidi w:val="0"/>
              <w:adjustRightInd/>
              <w:spacing w:line="460" w:lineRule="exact"/>
              <w:ind w:left="0" w:leftChars="0" w:firstLine="560" w:firstLineChars="200"/>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特别提醒：供应商应当诚信守法、公平竞争。如有以提供虚假材料（包括但不限于虚假技术参数响应、虚假业绩、虚假证书、虚假检测报告等）、串通投标、隐瞒失信信息等谋取</w:t>
            </w:r>
            <w:r>
              <w:rPr>
                <w:rFonts w:hint="eastAsia" w:ascii="仿宋" w:hAnsi="仿宋" w:eastAsia="仿宋" w:cs="仿宋"/>
                <w:bCs/>
                <w:color w:val="auto"/>
                <w:kern w:val="2"/>
                <w:sz w:val="28"/>
                <w:szCs w:val="28"/>
                <w:highlight w:val="none"/>
                <w:lang w:eastAsia="zh-CN"/>
              </w:rPr>
              <w:t>成交</w:t>
            </w:r>
            <w:r>
              <w:rPr>
                <w:rFonts w:hint="eastAsia" w:ascii="仿宋" w:hAnsi="仿宋" w:eastAsia="仿宋" w:cs="仿宋"/>
                <w:bCs/>
                <w:color w:val="auto"/>
                <w:kern w:val="2"/>
                <w:sz w:val="28"/>
                <w:szCs w:val="28"/>
                <w:highlight w:val="none"/>
              </w:rPr>
              <w:t>的行为，一经发现，将报监管部门严肃查处。</w:t>
            </w:r>
          </w:p>
        </w:tc>
      </w:tr>
    </w:tbl>
    <w:p w14:paraId="3A82B2F8">
      <w:pPr>
        <w:pStyle w:val="4"/>
        <w:keepNext/>
        <w:keepLines/>
        <w:pageBreakBefore w:val="0"/>
        <w:widowControl w:val="0"/>
        <w:kinsoku/>
        <w:wordWrap/>
        <w:overflowPunct/>
        <w:topLinePunct w:val="0"/>
        <w:autoSpaceDE/>
        <w:autoSpaceDN/>
        <w:bidi w:val="0"/>
        <w:adjustRightInd w:val="0"/>
        <w:snapToGrid/>
        <w:spacing w:before="0" w:beforeLines="0" w:beforeAutospacing="0" w:after="0" w:afterLines="0" w:afterAutospacing="0" w:line="560" w:lineRule="exact"/>
        <w:ind w:left="0" w:leftChars="0" w:firstLine="560" w:firstLineChars="200"/>
        <w:jc w:val="center"/>
        <w:textAlignment w:val="baseline"/>
        <w:outlineLvl w:val="1"/>
        <w:rPr>
          <w:rFonts w:hint="eastAsia" w:ascii="仿宋" w:hAnsi="仿宋" w:eastAsia="仿宋" w:cs="仿宋"/>
          <w:color w:val="auto"/>
          <w:sz w:val="28"/>
          <w:szCs w:val="28"/>
          <w:highlight w:val="none"/>
        </w:rPr>
      </w:pPr>
      <w:r>
        <w:rPr>
          <w:rFonts w:hint="eastAsia" w:ascii="仿宋" w:hAnsi="仿宋" w:eastAsia="仿宋" w:cs="仿宋"/>
          <w:b w:val="0"/>
          <w:color w:val="auto"/>
          <w:sz w:val="28"/>
          <w:szCs w:val="28"/>
          <w:highlight w:val="none"/>
        </w:rPr>
        <w:br w:type="page"/>
      </w:r>
      <w:bookmarkStart w:id="31" w:name="_Toc18169"/>
      <w:r>
        <w:rPr>
          <w:rFonts w:hint="eastAsia" w:ascii="仿宋" w:hAnsi="仿宋" w:eastAsia="仿宋" w:cs="仿宋"/>
          <w:color w:val="auto"/>
          <w:sz w:val="28"/>
          <w:szCs w:val="28"/>
          <w:highlight w:val="none"/>
        </w:rPr>
        <w:t>（二）供应商资格</w:t>
      </w:r>
      <w:bookmarkEnd w:id="31"/>
    </w:p>
    <w:p w14:paraId="6F086DBB">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bookmarkStart w:id="32" w:name="_Toc20659"/>
      <w:bookmarkStart w:id="33" w:name="_Toc363199266"/>
      <w:bookmarkStart w:id="34" w:name="_Toc216158625"/>
      <w:bookmarkStart w:id="35" w:name="_Toc438648662"/>
      <w:r>
        <w:rPr>
          <w:rFonts w:hint="eastAsia" w:ascii="仿宋" w:hAnsi="仿宋" w:eastAsia="仿宋" w:cs="仿宋"/>
          <w:color w:val="auto"/>
          <w:sz w:val="28"/>
          <w:szCs w:val="28"/>
          <w:highlight w:val="none"/>
        </w:rPr>
        <w:t>1、符合《中华人民共和国政府采购法》第二十二条规定；</w:t>
      </w:r>
    </w:p>
    <w:p w14:paraId="1FA06371">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、本项目不接受联合体；</w:t>
      </w:r>
    </w:p>
    <w:p w14:paraId="70930280">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、供应商存在以下不良信用记录情形之一的，不得推荐为成交候选供应商，不得确定为成交供应商：</w:t>
      </w:r>
    </w:p>
    <w:p w14:paraId="5B6AE1AC">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(1）供应商被人民法院列入失信被执行人的；</w:t>
      </w:r>
    </w:p>
    <w:p w14:paraId="66042BE7">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(2）供应商被市场监督管理部门列入企业经营异常名录的；</w:t>
      </w:r>
    </w:p>
    <w:p w14:paraId="45BF6ED1">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(3）供应商被税务部门列入重大税收违法案件当事人名单的；</w:t>
      </w:r>
    </w:p>
    <w:p w14:paraId="6B47AA7D">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(4）供应商被政府采购监管部门列入政府采购严重违法失信行为记录名单的。</w:t>
      </w:r>
    </w:p>
    <w:p w14:paraId="79E46968">
      <w:pPr>
        <w:pStyle w:val="4"/>
        <w:keepNext/>
        <w:keepLines/>
        <w:pageBreakBefore w:val="0"/>
        <w:widowControl w:val="0"/>
        <w:kinsoku/>
        <w:wordWrap/>
        <w:overflowPunct/>
        <w:topLinePunct w:val="0"/>
        <w:autoSpaceDE/>
        <w:autoSpaceDN/>
        <w:bidi w:val="0"/>
        <w:adjustRightInd w:val="0"/>
        <w:snapToGrid/>
        <w:spacing w:before="0" w:beforeLines="0" w:beforeAutospacing="0" w:after="0" w:afterLines="0" w:afterAutospacing="0" w:line="56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36" w:name="_Toc8833"/>
      <w:r>
        <w:rPr>
          <w:rFonts w:hint="eastAsia" w:ascii="仿宋" w:hAnsi="仿宋" w:eastAsia="仿宋" w:cs="仿宋"/>
          <w:color w:val="auto"/>
          <w:sz w:val="28"/>
          <w:szCs w:val="28"/>
          <w:highlight w:val="none"/>
        </w:rPr>
        <w:t>（三）供应商必须提交的响应文件内容</w:t>
      </w:r>
      <w:bookmarkEnd w:id="32"/>
      <w:bookmarkEnd w:id="33"/>
      <w:bookmarkEnd w:id="34"/>
      <w:bookmarkEnd w:id="35"/>
      <w:bookmarkEnd w:id="36"/>
    </w:p>
    <w:p w14:paraId="323ADABE">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1、报价单；</w:t>
      </w:r>
    </w:p>
    <w:p w14:paraId="0361EB7B">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w:t>
      </w:r>
      <w:r>
        <w:rPr>
          <w:rFonts w:hint="eastAsia" w:ascii="仿宋" w:hAnsi="仿宋" w:eastAsia="仿宋" w:cs="仿宋"/>
          <w:color w:val="auto"/>
          <w:sz w:val="28"/>
          <w:szCs w:val="28"/>
          <w:highlight w:val="none"/>
          <w:lang w:val="en-US" w:eastAsia="zh-CN"/>
        </w:rPr>
        <w:t>基本信息</w:t>
      </w:r>
      <w:r>
        <w:rPr>
          <w:rFonts w:hint="eastAsia" w:ascii="仿宋" w:hAnsi="仿宋" w:eastAsia="仿宋" w:cs="仿宋"/>
          <w:color w:val="auto"/>
          <w:sz w:val="28"/>
          <w:szCs w:val="28"/>
          <w:highlight w:val="none"/>
        </w:rPr>
        <w:t>；</w:t>
      </w:r>
    </w:p>
    <w:p w14:paraId="7E36BB5C">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授权委托书</w:t>
      </w:r>
      <w:r>
        <w:rPr>
          <w:rFonts w:hint="eastAsia" w:ascii="仿宋" w:hAnsi="仿宋" w:eastAsia="仿宋" w:cs="仿宋"/>
          <w:color w:val="auto"/>
          <w:sz w:val="28"/>
          <w:szCs w:val="28"/>
          <w:highlight w:val="none"/>
        </w:rPr>
        <w:t>；</w:t>
      </w:r>
    </w:p>
    <w:p w14:paraId="53B81F01">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函；</w:t>
      </w:r>
    </w:p>
    <w:p w14:paraId="369091D5">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5、无重大违法记录声明函、无不良信用记录承诺函；</w:t>
      </w:r>
    </w:p>
    <w:p w14:paraId="67BE898F">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6、响应情况表；</w:t>
      </w:r>
    </w:p>
    <w:p w14:paraId="06E1EE9D">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7、相关服务承诺函；</w:t>
      </w:r>
    </w:p>
    <w:p w14:paraId="02C9681A">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发包文件</w:t>
      </w:r>
      <w:r>
        <w:rPr>
          <w:rFonts w:hint="eastAsia" w:ascii="仿宋" w:hAnsi="仿宋" w:eastAsia="仿宋" w:cs="仿宋"/>
          <w:color w:val="auto"/>
          <w:sz w:val="28"/>
          <w:szCs w:val="28"/>
          <w:highlight w:val="none"/>
        </w:rPr>
        <w:t xml:space="preserve">要求和供应商认为需要提供的其它说明和资料。 </w:t>
      </w:r>
    </w:p>
    <w:p w14:paraId="01596AEA">
      <w:pPr>
        <w:pageBreakBefore w:val="0"/>
        <w:kinsoku/>
        <w:wordWrap/>
        <w:overflowPunct/>
        <w:topLinePunct w:val="0"/>
        <w:autoSpaceDE/>
        <w:autoSpaceDN/>
        <w:bidi w:val="0"/>
        <w:snapToGrid/>
        <w:spacing w:line="500" w:lineRule="exact"/>
        <w:jc w:val="left"/>
        <w:rPr>
          <w:rFonts w:hint="eastAsia" w:ascii="仿宋" w:hAnsi="仿宋" w:eastAsia="仿宋" w:cs="仿宋"/>
          <w:color w:val="auto"/>
          <w:sz w:val="28"/>
          <w:szCs w:val="28"/>
          <w:highlight w:val="none"/>
        </w:rPr>
      </w:pPr>
    </w:p>
    <w:p w14:paraId="1EC45619">
      <w:pPr>
        <w:pStyle w:val="32"/>
        <w:rPr>
          <w:rFonts w:hint="eastAsia" w:ascii="仿宋" w:hAnsi="仿宋" w:eastAsia="仿宋" w:cs="仿宋"/>
          <w:color w:val="auto"/>
          <w:sz w:val="28"/>
          <w:szCs w:val="28"/>
          <w:highlight w:val="none"/>
        </w:rPr>
      </w:pPr>
    </w:p>
    <w:p w14:paraId="1531D8F2">
      <w:pPr>
        <w:pStyle w:val="32"/>
        <w:rPr>
          <w:rFonts w:hint="eastAsia" w:ascii="仿宋" w:hAnsi="仿宋" w:eastAsia="仿宋" w:cs="仿宋"/>
          <w:color w:val="auto"/>
          <w:sz w:val="28"/>
          <w:szCs w:val="28"/>
          <w:highlight w:val="none"/>
        </w:rPr>
      </w:pPr>
    </w:p>
    <w:p w14:paraId="146B24B2">
      <w:pPr>
        <w:pStyle w:val="32"/>
        <w:rPr>
          <w:rFonts w:hint="eastAsia" w:ascii="仿宋" w:hAnsi="仿宋" w:eastAsia="仿宋" w:cs="仿宋"/>
          <w:color w:val="auto"/>
          <w:sz w:val="28"/>
          <w:szCs w:val="28"/>
          <w:highlight w:val="none"/>
        </w:rPr>
      </w:pPr>
    </w:p>
    <w:p w14:paraId="60736822">
      <w:pPr>
        <w:pStyle w:val="32"/>
        <w:rPr>
          <w:rFonts w:hint="eastAsia" w:ascii="仿宋" w:hAnsi="仿宋" w:eastAsia="仿宋" w:cs="仿宋"/>
          <w:color w:val="auto"/>
          <w:sz w:val="28"/>
          <w:szCs w:val="28"/>
          <w:highlight w:val="none"/>
        </w:rPr>
      </w:pPr>
    </w:p>
    <w:p w14:paraId="51F0C3C3">
      <w:pPr>
        <w:pStyle w:val="4"/>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37" w:name="_Toc3981"/>
      <w:bookmarkStart w:id="38" w:name="_Toc15757"/>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文件的提交</w:t>
      </w:r>
      <w:bookmarkEnd w:id="37"/>
      <w:bookmarkEnd w:id="38"/>
    </w:p>
    <w:p w14:paraId="57E4C860">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w:t>
      </w:r>
      <w:r>
        <w:rPr>
          <w:rFonts w:hint="eastAsia" w:ascii="仿宋" w:hAnsi="仿宋" w:eastAsia="仿宋" w:cs="仿宋"/>
          <w:b/>
          <w:color w:val="auto"/>
          <w:sz w:val="28"/>
          <w:szCs w:val="28"/>
          <w:highlight w:val="none"/>
        </w:rPr>
        <w:t>文件的密封和标记</w:t>
      </w:r>
    </w:p>
    <w:p w14:paraId="035440EB">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文件应密封并加盖</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单位公章。</w:t>
      </w:r>
    </w:p>
    <w:p w14:paraId="4F05EEC0">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文件应装订成册并封装，并在密封袋上标注项目名称、项目编号、供应商名称、密封口处须有法定代表人或授权委托人签字（或加盖印章）。</w:t>
      </w:r>
    </w:p>
    <w:p w14:paraId="28A02BD6">
      <w:pPr>
        <w:spacing w:line="360" w:lineRule="auto"/>
        <w:ind w:firstLine="562" w:firstLineChars="200"/>
        <w:rPr>
          <w:rFonts w:hint="eastAsia" w:ascii="仿宋" w:hAnsi="仿宋" w:eastAsia="仿宋" w:cs="仿宋"/>
          <w:b/>
          <w:color w:val="auto"/>
          <w:sz w:val="28"/>
          <w:szCs w:val="28"/>
          <w:highlight w:val="none"/>
        </w:rPr>
      </w:pPr>
      <w:bookmarkStart w:id="39" w:name="_Toc13583"/>
      <w:bookmarkStart w:id="40" w:name="_Toc15950"/>
      <w:r>
        <w:rPr>
          <w:rFonts w:hint="eastAsia" w:ascii="仿宋" w:hAnsi="仿宋" w:eastAsia="仿宋" w:cs="仿宋"/>
          <w:b/>
          <w:color w:val="auto"/>
          <w:sz w:val="28"/>
          <w:szCs w:val="28"/>
          <w:highlight w:val="none"/>
        </w:rPr>
        <w:t>18、</w:t>
      </w:r>
      <w:r>
        <w:rPr>
          <w:rFonts w:hint="eastAsia" w:ascii="仿宋" w:hAnsi="仿宋" w:eastAsia="仿宋" w:cs="仿宋"/>
          <w:b/>
          <w:color w:val="auto"/>
          <w:sz w:val="28"/>
          <w:szCs w:val="28"/>
          <w:highlight w:val="none"/>
          <w:lang w:eastAsia="zh-CN"/>
        </w:rPr>
        <w:t>响应</w:t>
      </w:r>
      <w:r>
        <w:rPr>
          <w:rFonts w:hint="eastAsia" w:ascii="仿宋" w:hAnsi="仿宋" w:eastAsia="仿宋" w:cs="仿宋"/>
          <w:b/>
          <w:color w:val="auto"/>
          <w:sz w:val="28"/>
          <w:szCs w:val="28"/>
          <w:highlight w:val="none"/>
        </w:rPr>
        <w:t>文件的提交</w:t>
      </w:r>
    </w:p>
    <w:p w14:paraId="272D98E9">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应按</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须知前附表规定的时间、地点，于</w:t>
      </w:r>
      <w:r>
        <w:rPr>
          <w:rFonts w:hint="eastAsia" w:ascii="仿宋" w:hAnsi="仿宋" w:eastAsia="仿宋" w:cs="仿宋"/>
          <w:bCs/>
          <w:color w:val="auto"/>
          <w:sz w:val="28"/>
          <w:szCs w:val="28"/>
          <w:highlight w:val="none"/>
          <w:lang w:eastAsia="zh-CN"/>
        </w:rPr>
        <w:t>发包</w:t>
      </w:r>
      <w:r>
        <w:rPr>
          <w:rFonts w:hint="eastAsia" w:ascii="仿宋" w:hAnsi="仿宋" w:eastAsia="仿宋" w:cs="仿宋"/>
          <w:bCs/>
          <w:color w:val="auto"/>
          <w:sz w:val="28"/>
          <w:szCs w:val="28"/>
          <w:highlight w:val="none"/>
        </w:rPr>
        <w:t>截止时间前现场签到并递交</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文件。</w:t>
      </w:r>
    </w:p>
    <w:p w14:paraId="35080C7E">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18.2在</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须知前附表规定的</w:t>
      </w:r>
      <w:r>
        <w:rPr>
          <w:rFonts w:hint="eastAsia" w:ascii="仿宋" w:hAnsi="仿宋" w:eastAsia="仿宋" w:cs="仿宋"/>
          <w:bCs/>
          <w:color w:val="auto"/>
          <w:sz w:val="28"/>
          <w:szCs w:val="28"/>
          <w:highlight w:val="none"/>
          <w:lang w:eastAsia="zh-CN"/>
        </w:rPr>
        <w:t>发包</w:t>
      </w:r>
      <w:r>
        <w:rPr>
          <w:rFonts w:hint="eastAsia" w:ascii="仿宋" w:hAnsi="仿宋" w:eastAsia="仿宋" w:cs="仿宋"/>
          <w:bCs/>
          <w:color w:val="auto"/>
          <w:sz w:val="28"/>
          <w:szCs w:val="28"/>
          <w:highlight w:val="none"/>
        </w:rPr>
        <w:t>截止时间以后递交的</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文件将被拒绝并退还给</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w:t>
      </w:r>
    </w:p>
    <w:bookmarkEnd w:id="39"/>
    <w:bookmarkEnd w:id="40"/>
    <w:p w14:paraId="62B8D62A">
      <w:pPr>
        <w:pStyle w:val="4"/>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b/>
          <w:bCs/>
          <w:color w:val="auto"/>
          <w:sz w:val="28"/>
          <w:szCs w:val="28"/>
          <w:highlight w:val="none"/>
          <w:lang w:eastAsia="zh-CN"/>
        </w:rPr>
      </w:pPr>
      <w:bookmarkStart w:id="41" w:name="_Toc23974"/>
      <w:bookmarkStart w:id="42" w:name="_Toc457942812"/>
      <w:bookmarkStart w:id="43" w:name="_Toc12046"/>
      <w:bookmarkStart w:id="44" w:name="_Toc24685"/>
      <w:bookmarkStart w:id="45" w:name="_Toc28910"/>
      <w:bookmarkStart w:id="46" w:name="_Toc636"/>
      <w:bookmarkStart w:id="47" w:name="_Toc7501"/>
      <w:r>
        <w:rPr>
          <w:rFonts w:hint="eastAsia" w:ascii="仿宋" w:hAnsi="仿宋" w:eastAsia="仿宋" w:cs="仿宋"/>
          <w:b/>
          <w:bCs/>
          <w:color w:val="auto"/>
          <w:sz w:val="28"/>
          <w:szCs w:val="28"/>
          <w:highlight w:val="none"/>
          <w:lang w:eastAsia="zh-CN"/>
        </w:rPr>
        <w:t>（五）发包</w:t>
      </w:r>
      <w:r>
        <w:rPr>
          <w:rFonts w:hint="eastAsia" w:ascii="仿宋" w:hAnsi="仿宋" w:eastAsia="仿宋" w:cs="仿宋"/>
          <w:b/>
          <w:bCs/>
          <w:color w:val="auto"/>
          <w:sz w:val="28"/>
          <w:szCs w:val="28"/>
          <w:highlight w:val="none"/>
        </w:rPr>
        <w:t>与</w:t>
      </w:r>
      <w:bookmarkEnd w:id="41"/>
      <w:bookmarkEnd w:id="42"/>
      <w:bookmarkEnd w:id="43"/>
      <w:bookmarkEnd w:id="44"/>
      <w:bookmarkEnd w:id="45"/>
      <w:r>
        <w:rPr>
          <w:rFonts w:hint="eastAsia" w:ascii="仿宋" w:hAnsi="仿宋" w:eastAsia="仿宋" w:cs="仿宋"/>
          <w:b/>
          <w:bCs/>
          <w:color w:val="auto"/>
          <w:sz w:val="28"/>
          <w:szCs w:val="28"/>
          <w:highlight w:val="none"/>
          <w:lang w:eastAsia="zh-CN"/>
        </w:rPr>
        <w:t>评审</w:t>
      </w:r>
    </w:p>
    <w:p w14:paraId="66C2549B">
      <w:pPr>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开标与</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的评审</w:t>
      </w:r>
    </w:p>
    <w:p w14:paraId="0C132E46">
      <w:pPr>
        <w:pStyle w:val="73"/>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人将在本项目</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公告规定的时间和地点组织</w:t>
      </w:r>
      <w:r>
        <w:rPr>
          <w:rFonts w:hint="eastAsia" w:ascii="仿宋" w:hAnsi="仿宋" w:eastAsia="仿宋" w:cs="仿宋"/>
          <w:color w:val="auto"/>
          <w:sz w:val="28"/>
          <w:szCs w:val="28"/>
          <w:highlight w:val="none"/>
          <w:lang w:eastAsia="zh-CN"/>
        </w:rPr>
        <w:t>发包活动</w:t>
      </w:r>
      <w:r>
        <w:rPr>
          <w:rFonts w:hint="eastAsia" w:ascii="仿宋" w:hAnsi="仿宋" w:eastAsia="仿宋" w:cs="仿宋"/>
          <w:color w:val="auto"/>
          <w:sz w:val="28"/>
          <w:szCs w:val="28"/>
          <w:highlight w:val="none"/>
        </w:rPr>
        <w:t>；供应商的法定代表人或其授权委托代理人必须参加</w:t>
      </w:r>
      <w:r>
        <w:rPr>
          <w:rFonts w:hint="eastAsia" w:ascii="仿宋" w:hAnsi="仿宋" w:eastAsia="仿宋" w:cs="仿宋"/>
          <w:color w:val="auto"/>
          <w:sz w:val="28"/>
          <w:szCs w:val="28"/>
          <w:highlight w:val="none"/>
          <w:lang w:eastAsia="zh-CN"/>
        </w:rPr>
        <w:t>发包会</w:t>
      </w:r>
      <w:r>
        <w:rPr>
          <w:rFonts w:hint="eastAsia" w:ascii="仿宋" w:hAnsi="仿宋" w:eastAsia="仿宋" w:cs="仿宋"/>
          <w:color w:val="auto"/>
          <w:sz w:val="28"/>
          <w:szCs w:val="28"/>
          <w:highlight w:val="none"/>
        </w:rPr>
        <w:t>议。各供应商参加</w:t>
      </w:r>
      <w:r>
        <w:rPr>
          <w:rFonts w:hint="eastAsia" w:ascii="仿宋" w:hAnsi="仿宋" w:eastAsia="仿宋" w:cs="仿宋"/>
          <w:color w:val="auto"/>
          <w:sz w:val="28"/>
          <w:szCs w:val="28"/>
          <w:highlight w:val="none"/>
          <w:lang w:eastAsia="zh-CN"/>
        </w:rPr>
        <w:t>发包会</w:t>
      </w:r>
      <w:r>
        <w:rPr>
          <w:rFonts w:hint="eastAsia" w:ascii="仿宋" w:hAnsi="仿宋" w:eastAsia="仿宋" w:cs="仿宋"/>
          <w:color w:val="auto"/>
          <w:sz w:val="28"/>
          <w:szCs w:val="28"/>
          <w:highlight w:val="none"/>
        </w:rPr>
        <w:t>议的人数不得超过1人，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会现场必须提供下列资料供查验：</w:t>
      </w:r>
      <w:r>
        <w:rPr>
          <w:rFonts w:hint="eastAsia" w:ascii="仿宋" w:hAnsi="仿宋" w:eastAsia="仿宋" w:cs="仿宋"/>
          <w:b/>
          <w:bCs/>
          <w:color w:val="auto"/>
          <w:sz w:val="28"/>
          <w:szCs w:val="28"/>
          <w:highlight w:val="none"/>
          <w:u w:val="double"/>
        </w:rPr>
        <w:t>被委托人身份证、授权委托书原件（法定代表人到场不需提供）</w:t>
      </w:r>
      <w:r>
        <w:rPr>
          <w:rFonts w:hint="eastAsia" w:ascii="仿宋" w:hAnsi="仿宋" w:eastAsia="仿宋" w:cs="仿宋"/>
          <w:b/>
          <w:bCs/>
          <w:color w:val="auto"/>
          <w:sz w:val="28"/>
          <w:szCs w:val="28"/>
          <w:highlight w:val="none"/>
          <w:u w:val="double"/>
          <w:lang w:eastAsia="zh-CN"/>
        </w:rPr>
        <w:t>。</w:t>
      </w:r>
      <w:r>
        <w:rPr>
          <w:rFonts w:hint="eastAsia" w:ascii="仿宋" w:hAnsi="仿宋" w:eastAsia="仿宋" w:cs="仿宋"/>
          <w:color w:val="auto"/>
          <w:sz w:val="28"/>
          <w:szCs w:val="28"/>
          <w:highlight w:val="none"/>
        </w:rPr>
        <w:t>凡不能出示上述有效证件或到场人员与证件载明的人员不一致或未出席</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会议者，</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文件不予接受，</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资格无效；代理机构现场记录并存档备查。</w:t>
      </w:r>
    </w:p>
    <w:p w14:paraId="494A8738">
      <w:pPr>
        <w:pStyle w:val="73"/>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rPr>
        <w:t>2评标前对</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资格进行审查，</w:t>
      </w:r>
      <w:r>
        <w:rPr>
          <w:rFonts w:hint="eastAsia" w:ascii="仿宋" w:hAnsi="仿宋" w:eastAsia="仿宋" w:cs="仿宋"/>
          <w:bCs/>
          <w:color w:val="auto"/>
          <w:sz w:val="28"/>
          <w:szCs w:val="28"/>
          <w:highlight w:val="none"/>
          <w:lang w:eastAsia="zh-CN"/>
        </w:rPr>
        <w:t>评审小组</w:t>
      </w:r>
      <w:r>
        <w:rPr>
          <w:rFonts w:hint="eastAsia" w:ascii="仿宋" w:hAnsi="仿宋" w:eastAsia="仿宋" w:cs="仿宋"/>
          <w:bCs/>
          <w:color w:val="auto"/>
          <w:sz w:val="28"/>
          <w:szCs w:val="28"/>
          <w:highlight w:val="none"/>
        </w:rPr>
        <w:t>仅对资格审查通过的</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文件进行评审。</w:t>
      </w:r>
    </w:p>
    <w:p w14:paraId="47111411">
      <w:pPr>
        <w:pStyle w:val="73"/>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lang w:eastAsia="zh-CN"/>
        </w:rPr>
        <w:t>发包会现场</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发包人</w:t>
      </w:r>
      <w:r>
        <w:rPr>
          <w:rFonts w:hint="eastAsia" w:ascii="仿宋" w:hAnsi="仿宋" w:eastAsia="仿宋" w:cs="仿宋"/>
          <w:bCs/>
          <w:color w:val="auto"/>
          <w:sz w:val="28"/>
          <w:szCs w:val="28"/>
          <w:highlight w:val="none"/>
        </w:rPr>
        <w:t>（采购代理机构）将公布供应商名称。</w:t>
      </w:r>
    </w:p>
    <w:p w14:paraId="52134F20">
      <w:pPr>
        <w:spacing w:line="360" w:lineRule="auto"/>
        <w:ind w:firstLine="560" w:firstLineChars="20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.4无论何种原因，即使供应商投标时携带了证书材料的原件，但</w:t>
      </w:r>
      <w:r>
        <w:rPr>
          <w:rFonts w:hint="eastAsia" w:ascii="仿宋" w:hAnsi="仿宋" w:eastAsia="仿宋" w:cs="仿宋"/>
          <w:color w:val="auto"/>
          <w:kern w:val="0"/>
          <w:sz w:val="28"/>
          <w:szCs w:val="28"/>
          <w:highlight w:val="none"/>
          <w:lang w:eastAsia="zh-CN"/>
        </w:rPr>
        <w:t>响应</w:t>
      </w:r>
      <w:r>
        <w:rPr>
          <w:rFonts w:hint="eastAsia" w:ascii="仿宋" w:hAnsi="仿宋" w:eastAsia="仿宋" w:cs="仿宋"/>
          <w:color w:val="auto"/>
          <w:kern w:val="0"/>
          <w:sz w:val="28"/>
          <w:szCs w:val="28"/>
          <w:highlight w:val="none"/>
        </w:rPr>
        <w:t>文件中未提供与之内容完全一致的扫描件或影印件的，</w:t>
      </w:r>
      <w:r>
        <w:rPr>
          <w:rFonts w:hint="eastAsia" w:ascii="仿宋" w:hAnsi="仿宋" w:eastAsia="仿宋" w:cs="仿宋"/>
          <w:color w:val="auto"/>
          <w:kern w:val="0"/>
          <w:sz w:val="28"/>
          <w:szCs w:val="28"/>
          <w:highlight w:val="none"/>
          <w:lang w:eastAsia="zh-CN"/>
        </w:rPr>
        <w:t>评审小组</w:t>
      </w:r>
      <w:r>
        <w:rPr>
          <w:rFonts w:hint="eastAsia" w:ascii="仿宋" w:hAnsi="仿宋" w:eastAsia="仿宋" w:cs="仿宋"/>
          <w:color w:val="auto"/>
          <w:kern w:val="0"/>
          <w:sz w:val="28"/>
          <w:szCs w:val="28"/>
          <w:highlight w:val="none"/>
        </w:rPr>
        <w:t>视同其未提供。</w:t>
      </w:r>
    </w:p>
    <w:p w14:paraId="565881BC">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lang w:eastAsia="zh-CN"/>
        </w:rPr>
        <w:t>评审小组</w:t>
      </w:r>
      <w:r>
        <w:rPr>
          <w:rFonts w:hint="eastAsia" w:ascii="仿宋" w:hAnsi="仿宋" w:eastAsia="仿宋" w:cs="仿宋"/>
          <w:color w:val="auto"/>
          <w:kern w:val="0"/>
          <w:sz w:val="28"/>
          <w:szCs w:val="28"/>
          <w:highlight w:val="none"/>
        </w:rPr>
        <w:t>决定</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的响应性及符合性只根据</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本身的内容，而不寻求其他外部证据。</w:t>
      </w:r>
    </w:p>
    <w:p w14:paraId="52BEEFF6">
      <w:pPr>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的澄清、说明或补正</w:t>
      </w:r>
    </w:p>
    <w:p w14:paraId="49695F3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.1为有助于审查、评价和比较，</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可以书面方式要求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中含义不明确、对同类问题表述不一致或者有明显文字和计算错误的内容作必要的澄清、说明或补正。澄清、说明或补正应以书面方式进行并不得超出</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的范围或改变</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的实质性内容。</w:t>
      </w:r>
    </w:p>
    <w:p w14:paraId="6D598893">
      <w:pPr>
        <w:spacing w:line="360" w:lineRule="auto"/>
        <w:ind w:firstLine="551" w:firstLineChars="196"/>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color w:val="auto"/>
          <w:sz w:val="28"/>
          <w:szCs w:val="28"/>
          <w:highlight w:val="none"/>
          <w:lang w:eastAsia="zh-CN"/>
        </w:rPr>
        <w:t>、</w:t>
      </w:r>
      <w:r>
        <w:rPr>
          <w:rFonts w:hint="eastAsia" w:ascii="仿宋" w:hAnsi="仿宋" w:eastAsia="仿宋" w:cs="仿宋"/>
          <w:b/>
          <w:bCs/>
          <w:color w:val="auto"/>
          <w:sz w:val="28"/>
          <w:szCs w:val="28"/>
          <w:highlight w:val="none"/>
        </w:rPr>
        <w:t>废标处理及投标无效情形</w:t>
      </w:r>
    </w:p>
    <w:p w14:paraId="379D122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.1在</w:t>
      </w:r>
      <w:r>
        <w:rPr>
          <w:rFonts w:hint="eastAsia" w:ascii="仿宋" w:hAnsi="仿宋" w:eastAsia="仿宋" w:cs="仿宋"/>
          <w:color w:val="auto"/>
          <w:sz w:val="28"/>
          <w:szCs w:val="28"/>
          <w:highlight w:val="none"/>
          <w:lang w:eastAsia="zh-CN"/>
        </w:rPr>
        <w:t>发包活动中</w:t>
      </w:r>
      <w:r>
        <w:rPr>
          <w:rFonts w:hint="eastAsia" w:ascii="仿宋" w:hAnsi="仿宋" w:eastAsia="仿宋" w:cs="仿宋"/>
          <w:color w:val="auto"/>
          <w:sz w:val="28"/>
          <w:szCs w:val="28"/>
          <w:highlight w:val="none"/>
        </w:rPr>
        <w:t>，出现下列情形之一的，应对</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项目予以废标：</w:t>
      </w:r>
    </w:p>
    <w:p w14:paraId="6DA9EB0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.1.1符合专业条件的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或对</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文件作实质响应的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不足</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家的；</w:t>
      </w:r>
    </w:p>
    <w:p w14:paraId="5EF7B85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.1.2出现影响</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公正的违法、违规行为的；</w:t>
      </w:r>
    </w:p>
    <w:p w14:paraId="42FD9CA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.1.3因重大变故，采购任务取消的。</w:t>
      </w:r>
    </w:p>
    <w:p w14:paraId="135DF89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人会把废标理由通知所有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p>
    <w:p w14:paraId="14CD8B8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存在下列情况之一的，</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无效:</w:t>
      </w:r>
    </w:p>
    <w:p w14:paraId="42B7C60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未按</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文件要求签署、盖章的；</w:t>
      </w:r>
    </w:p>
    <w:p w14:paraId="55DAE520">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3.2.2不具备发包文件中规定的资格要求的；</w:t>
      </w:r>
    </w:p>
    <w:p w14:paraId="0F3CFB7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3.2.3</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含有</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人不能接受的附加条件的；</w:t>
      </w:r>
    </w:p>
    <w:p w14:paraId="5126BB56">
      <w:pPr>
        <w:spacing w:line="360" w:lineRule="auto"/>
        <w:ind w:firstLine="560" w:firstLineChars="2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3.2.4</w:t>
      </w:r>
      <w:r>
        <w:rPr>
          <w:rFonts w:hint="eastAsia" w:ascii="仿宋" w:hAnsi="仿宋" w:eastAsia="仿宋" w:cs="仿宋"/>
          <w:color w:val="auto"/>
          <w:sz w:val="28"/>
          <w:szCs w:val="28"/>
          <w:highlight w:val="none"/>
        </w:rPr>
        <w:t>法律、法规和</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文件规定的其他无效情形。</w:t>
      </w:r>
    </w:p>
    <w:p w14:paraId="1CE61377">
      <w:pPr>
        <w:pStyle w:val="4"/>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w:t>
      </w:r>
      <w:bookmarkEnd w:id="46"/>
      <w:bookmarkEnd w:id="47"/>
      <w:r>
        <w:rPr>
          <w:rFonts w:hint="eastAsia" w:ascii="仿宋" w:hAnsi="仿宋" w:eastAsia="仿宋" w:cs="仿宋"/>
          <w:color w:val="auto"/>
          <w:sz w:val="28"/>
          <w:szCs w:val="28"/>
          <w:highlight w:val="none"/>
          <w:lang w:eastAsia="zh-CN"/>
        </w:rPr>
        <w:t>确定成交人</w:t>
      </w:r>
    </w:p>
    <w:p w14:paraId="67D1E315">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将遵循公平、公正的原则，对供应商</w:t>
      </w:r>
      <w:r>
        <w:rPr>
          <w:rFonts w:hint="eastAsia" w:ascii="仿宋" w:hAnsi="仿宋" w:eastAsia="仿宋" w:cs="仿宋"/>
          <w:color w:val="auto"/>
          <w:sz w:val="28"/>
          <w:szCs w:val="28"/>
          <w:highlight w:val="none"/>
          <w:lang w:eastAsia="zh-CN"/>
        </w:rPr>
        <w:t>的响应文件</w:t>
      </w:r>
      <w:r>
        <w:rPr>
          <w:rFonts w:hint="eastAsia" w:ascii="仿宋" w:hAnsi="仿宋" w:eastAsia="仿宋" w:cs="仿宋"/>
          <w:color w:val="auto"/>
          <w:sz w:val="28"/>
          <w:szCs w:val="28"/>
          <w:highlight w:val="none"/>
        </w:rPr>
        <w:t>进行综合评审，根据得分由高到低顺序推荐</w:t>
      </w:r>
      <w:r>
        <w:rPr>
          <w:rFonts w:hint="eastAsia" w:ascii="仿宋" w:hAnsi="仿宋" w:eastAsia="仿宋" w:cs="仿宋"/>
          <w:color w:val="auto"/>
          <w:sz w:val="28"/>
          <w:szCs w:val="28"/>
          <w:highlight w:val="none"/>
          <w:lang w:eastAsia="zh-CN"/>
        </w:rPr>
        <w:t>不少于</w:t>
      </w:r>
      <w:r>
        <w:rPr>
          <w:rFonts w:hint="eastAsia" w:ascii="仿宋" w:hAnsi="仿宋" w:eastAsia="仿宋" w:cs="仿宋"/>
          <w:color w:val="auto"/>
          <w:sz w:val="28"/>
          <w:szCs w:val="28"/>
          <w:highlight w:val="none"/>
        </w:rPr>
        <w:t>3名成交候选供应商。</w:t>
      </w:r>
    </w:p>
    <w:p w14:paraId="0FFDCCD2">
      <w:pPr>
        <w:pStyle w:val="4"/>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48" w:name="_Toc5003"/>
      <w:bookmarkStart w:id="49" w:name="_Toc3702"/>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）报价响应及答疑</w:t>
      </w:r>
      <w:bookmarkEnd w:id="48"/>
      <w:bookmarkEnd w:id="49"/>
    </w:p>
    <w:p w14:paraId="3DA5D7CA">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1、响应报价应含有所投</w:t>
      </w:r>
      <w:r>
        <w:rPr>
          <w:rFonts w:hint="eastAsia" w:ascii="仿宋" w:hAnsi="仿宋" w:eastAsia="仿宋" w:cs="仿宋"/>
          <w:color w:val="auto"/>
          <w:sz w:val="28"/>
          <w:szCs w:val="28"/>
          <w:highlight w:val="none"/>
          <w:lang w:eastAsia="zh-CN"/>
        </w:rPr>
        <w:t>服务各</w:t>
      </w:r>
      <w:r>
        <w:rPr>
          <w:rFonts w:hint="eastAsia" w:ascii="仿宋" w:hAnsi="仿宋" w:eastAsia="仿宋" w:cs="仿宋"/>
          <w:color w:val="auto"/>
          <w:sz w:val="28"/>
          <w:szCs w:val="28"/>
          <w:highlight w:val="none"/>
        </w:rPr>
        <w:t>环节所发生的一切费用。响应报价为供应商在响应文件中提出的各项支付金额的总和。</w:t>
      </w:r>
    </w:p>
    <w:p w14:paraId="07A3FC2F">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如有需要，</w:t>
      </w:r>
      <w:r>
        <w:rPr>
          <w:rFonts w:hint="eastAsia" w:ascii="仿宋" w:hAnsi="仿宋" w:eastAsia="仿宋" w:cs="仿宋"/>
          <w:color w:val="auto"/>
          <w:sz w:val="28"/>
          <w:szCs w:val="28"/>
          <w:highlight w:val="none"/>
        </w:rPr>
        <w:t>供应商应自行对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现场和周围环境进行勘察，以获取编制响应文件和签署合同所需的资料。勘察现场所发生的费用由供应商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承担。</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向供应商提供的有关</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现场的资料和数据，是</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现有的能使供应商利用的资料。</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对供应商由此而做出的推论、理解和结论概不负责。供应商因自身原因未到</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现场实地踏勘的，成交后签订合同时和履约过程中，不得以不完全了解现场情况为由，提出任何形式的增加合同外</w:t>
      </w:r>
      <w:r>
        <w:rPr>
          <w:rFonts w:hint="eastAsia" w:ascii="仿宋" w:hAnsi="仿宋" w:eastAsia="仿宋" w:cs="仿宋"/>
          <w:color w:val="auto"/>
          <w:sz w:val="28"/>
          <w:szCs w:val="28"/>
          <w:highlight w:val="none"/>
          <w:lang w:eastAsia="zh-CN"/>
        </w:rPr>
        <w:t>服务费用</w:t>
      </w:r>
      <w:r>
        <w:rPr>
          <w:rFonts w:hint="eastAsia" w:ascii="仿宋" w:hAnsi="仿宋" w:eastAsia="仿宋" w:cs="仿宋"/>
          <w:color w:val="auto"/>
          <w:sz w:val="28"/>
          <w:szCs w:val="28"/>
          <w:highlight w:val="none"/>
        </w:rPr>
        <w:t>或索赔的要求。</w:t>
      </w:r>
    </w:p>
    <w:p w14:paraId="562877BD">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、供应商如果对</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文件的其他任何内容有相关疑问，</w:t>
      </w:r>
      <w:r>
        <w:rPr>
          <w:rFonts w:hint="eastAsia" w:ascii="仿宋" w:hAnsi="仿宋" w:eastAsia="仿宋" w:cs="仿宋"/>
          <w:color w:val="auto"/>
          <w:sz w:val="28"/>
          <w:szCs w:val="28"/>
          <w:highlight w:val="none"/>
          <w:lang w:eastAsia="zh-CN"/>
        </w:rPr>
        <w:t>可按照供应商须知前附表规定的方式及渠道提出</w:t>
      </w:r>
      <w:r>
        <w:rPr>
          <w:rFonts w:hint="eastAsia" w:ascii="仿宋" w:hAnsi="仿宋" w:eastAsia="仿宋" w:cs="仿宋"/>
          <w:color w:val="auto"/>
          <w:sz w:val="28"/>
          <w:szCs w:val="28"/>
          <w:highlight w:val="none"/>
        </w:rPr>
        <w:t>。</w:t>
      </w:r>
    </w:p>
    <w:p w14:paraId="14B7D09D">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、供应商应确保其所提供的响应资料的真实性、有效性及合法性，否则，由此引起的任何责任由其自行承担。</w:t>
      </w:r>
    </w:p>
    <w:p w14:paraId="76BC5E79">
      <w:pPr>
        <w:pStyle w:val="4"/>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50" w:name="_Toc6858"/>
      <w:bookmarkStart w:id="51" w:name="_Toc15038"/>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）合同的签订</w:t>
      </w:r>
      <w:bookmarkEnd w:id="50"/>
      <w:bookmarkEnd w:id="51"/>
    </w:p>
    <w:p w14:paraId="756AEC77">
      <w:pPr>
        <w:pageBreakBefore w:val="0"/>
        <w:kinsoku/>
        <w:wordWrap/>
        <w:overflowPunct/>
        <w:topLinePunct w:val="0"/>
        <w:autoSpaceDE/>
        <w:autoSpaceDN/>
        <w:bidi w:val="0"/>
        <w:snapToGrid/>
        <w:spacing w:line="5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供应商如对发包过程及成交结果有质疑和投诉，均可向发包人提出</w:t>
      </w:r>
      <w:r>
        <w:rPr>
          <w:rFonts w:hint="eastAsia" w:ascii="仿宋" w:hAnsi="仿宋" w:eastAsia="仿宋" w:cs="仿宋"/>
          <w:color w:val="auto"/>
          <w:sz w:val="28"/>
          <w:szCs w:val="28"/>
          <w:highlight w:val="none"/>
        </w:rPr>
        <w:t>。</w:t>
      </w:r>
    </w:p>
    <w:p w14:paraId="4DEB88F6">
      <w:pPr>
        <w:pageBreakBefore w:val="0"/>
        <w:kinsoku/>
        <w:wordWrap/>
        <w:overflowPunct/>
        <w:topLinePunct w:val="0"/>
        <w:autoSpaceDE/>
        <w:autoSpaceDN/>
        <w:bidi w:val="0"/>
        <w:snapToGrid/>
        <w:spacing w:line="5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2、成交供应商在</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通知书发出后</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日内与</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单位签订合同。</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供应商的</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文件及澄清文件等，均作为合同的附件。</w:t>
      </w:r>
    </w:p>
    <w:p w14:paraId="4418F153">
      <w:pPr>
        <w:pageBreakBefore w:val="0"/>
        <w:kinsoku/>
        <w:wordWrap/>
        <w:overflowPunct/>
        <w:topLinePunct w:val="0"/>
        <w:autoSpaceDE/>
        <w:autoSpaceDN/>
        <w:bidi w:val="0"/>
        <w:snapToGrid/>
        <w:spacing w:line="5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、成交供应商因不可抗力或者自身原因不能在规定的时间内与</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签订采购合同，</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可以与排在成交供应商后第一位的候选供应商签订采购合同，以此类推或重新组织采购。</w:t>
      </w:r>
    </w:p>
    <w:p w14:paraId="14248A9D">
      <w:pPr>
        <w:pStyle w:val="4"/>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52" w:name="_Toc30736"/>
      <w:bookmarkStart w:id="53" w:name="_Toc8827"/>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）澄清及变更</w:t>
      </w:r>
      <w:bookmarkEnd w:id="52"/>
      <w:bookmarkEnd w:id="53"/>
    </w:p>
    <w:p w14:paraId="47276C30">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文件如有澄清及变更，</w:t>
      </w:r>
      <w:r>
        <w:rPr>
          <w:rFonts w:hint="eastAsia" w:ascii="仿宋" w:hAnsi="仿宋" w:eastAsia="仿宋" w:cs="仿宋"/>
          <w:color w:val="auto"/>
          <w:sz w:val="28"/>
          <w:szCs w:val="28"/>
          <w:highlight w:val="none"/>
          <w:lang w:eastAsia="zh-CN"/>
        </w:rPr>
        <w:t>将按照供应商须知前附表规定的方式及渠道进行回复</w:t>
      </w:r>
      <w:r>
        <w:rPr>
          <w:rFonts w:hint="eastAsia" w:ascii="仿宋" w:hAnsi="仿宋" w:eastAsia="仿宋" w:cs="仿宋"/>
          <w:color w:val="auto"/>
          <w:sz w:val="28"/>
          <w:szCs w:val="28"/>
          <w:highlight w:val="none"/>
        </w:rPr>
        <w:t>。</w:t>
      </w:r>
    </w:p>
    <w:p w14:paraId="6E2A889B">
      <w:pPr>
        <w:pStyle w:val="4"/>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54" w:name="_Toc3341"/>
      <w:bookmarkStart w:id="55" w:name="_Toc30024"/>
      <w:r>
        <w:rPr>
          <w:rFonts w:hint="eastAsia" w:ascii="仿宋" w:hAnsi="仿宋" w:eastAsia="仿宋" w:cs="仿宋"/>
          <w:color w:val="auto"/>
          <w:sz w:val="28"/>
          <w:szCs w:val="28"/>
          <w:highlight w:val="none"/>
        </w:rPr>
        <w:t>（十）验收</w:t>
      </w:r>
      <w:bookmarkEnd w:id="54"/>
      <w:bookmarkEnd w:id="55"/>
    </w:p>
    <w:p w14:paraId="3F7B9EF7">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验收时，应成立三人以上（由合同双方、资产管理人、技术人员、纪检等相关人员组成）验收小组，明确责任，严格依照</w:t>
      </w:r>
      <w:r>
        <w:rPr>
          <w:rFonts w:hint="eastAsia" w:ascii="仿宋" w:hAnsi="仿宋" w:eastAsia="仿宋" w:cs="仿宋"/>
          <w:color w:val="auto"/>
          <w:sz w:val="28"/>
          <w:szCs w:val="28"/>
          <w:highlight w:val="none"/>
          <w:lang w:eastAsia="zh-CN"/>
        </w:rPr>
        <w:t>发包文件</w:t>
      </w:r>
      <w:r>
        <w:rPr>
          <w:rFonts w:hint="eastAsia" w:ascii="仿宋" w:hAnsi="仿宋" w:eastAsia="仿宋" w:cs="仿宋"/>
          <w:color w:val="auto"/>
          <w:sz w:val="28"/>
          <w:szCs w:val="28"/>
          <w:highlight w:val="none"/>
        </w:rPr>
        <w:t>、成交通知书、政府采购合同及相关验收规范进行核对、验收，形成验收结论，并出具书面验收报告。</w:t>
      </w:r>
    </w:p>
    <w:p w14:paraId="66DFCEF9">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2、涉及安全、消防、环保等其他需要由质检或行业主管部门进行验收的项目，必须邀请相关部门或相关专家参与验收。</w:t>
      </w:r>
    </w:p>
    <w:p w14:paraId="23E59D4F">
      <w:pPr>
        <w:pStyle w:val="32"/>
        <w:pageBreakBefore w:val="0"/>
        <w:kinsoku/>
        <w:overflowPunct/>
        <w:topLinePunct w:val="0"/>
        <w:bidi w:val="0"/>
        <w:ind w:left="0" w:leftChars="0" w:firstLine="562" w:firstLineChars="200"/>
        <w:rPr>
          <w:rFonts w:hint="eastAsia" w:ascii="仿宋" w:hAnsi="仿宋" w:eastAsia="仿宋" w:cs="仿宋"/>
          <w:color w:val="auto"/>
          <w:sz w:val="28"/>
          <w:szCs w:val="28"/>
          <w:highlight w:val="none"/>
        </w:rPr>
      </w:pPr>
      <w:bookmarkStart w:id="56" w:name="_Toc216158630"/>
    </w:p>
    <w:p w14:paraId="0F11CA33">
      <w:pPr>
        <w:pStyle w:val="32"/>
        <w:pageBreakBefore w:val="0"/>
        <w:kinsoku/>
        <w:overflowPunct/>
        <w:topLinePunct w:val="0"/>
        <w:bidi w:val="0"/>
        <w:ind w:left="0" w:leftChars="0" w:firstLine="562" w:firstLineChars="200"/>
        <w:rPr>
          <w:rFonts w:hint="eastAsia" w:ascii="仿宋" w:hAnsi="仿宋" w:eastAsia="仿宋" w:cs="仿宋"/>
          <w:color w:val="auto"/>
          <w:sz w:val="28"/>
          <w:szCs w:val="28"/>
          <w:highlight w:val="none"/>
        </w:rPr>
      </w:pPr>
    </w:p>
    <w:p w14:paraId="60C06562">
      <w:pPr>
        <w:pStyle w:val="32"/>
        <w:pageBreakBefore w:val="0"/>
        <w:kinsoku/>
        <w:overflowPunct/>
        <w:topLinePunct w:val="0"/>
        <w:bidi w:val="0"/>
        <w:ind w:left="0" w:leftChars="0" w:firstLine="562" w:firstLineChars="200"/>
        <w:rPr>
          <w:rFonts w:hint="eastAsia" w:ascii="仿宋" w:hAnsi="仿宋" w:eastAsia="仿宋" w:cs="仿宋"/>
          <w:color w:val="auto"/>
          <w:sz w:val="28"/>
          <w:szCs w:val="28"/>
          <w:highlight w:val="none"/>
        </w:rPr>
      </w:pPr>
    </w:p>
    <w:p w14:paraId="5821953B">
      <w:pPr>
        <w:pStyle w:val="3"/>
        <w:keepNext/>
        <w:keepLines/>
        <w:pageBreakBefore w:val="0"/>
        <w:widowControl w:val="0"/>
        <w:kinsoku/>
        <w:wordWrap/>
        <w:overflowPunct/>
        <w:topLinePunct w:val="0"/>
        <w:autoSpaceDE/>
        <w:autoSpaceDN/>
        <w:bidi w:val="0"/>
        <w:adjustRightInd w:val="0"/>
        <w:snapToGrid/>
        <w:spacing w:before="0" w:after="0" w:line="560" w:lineRule="exact"/>
        <w:ind w:left="0" w:leftChars="0" w:firstLine="0" w:firstLineChars="0"/>
        <w:jc w:val="center"/>
        <w:textAlignment w:val="baseline"/>
        <w:outlineLvl w:val="0"/>
        <w:rPr>
          <w:rFonts w:hint="eastAsia" w:ascii="仿宋" w:hAnsi="仿宋" w:eastAsia="仿宋" w:cs="仿宋"/>
          <w:b/>
          <w:bCs/>
          <w:color w:val="auto"/>
          <w:sz w:val="32"/>
          <w:szCs w:val="32"/>
          <w:highlight w:val="none"/>
        </w:rPr>
      </w:pPr>
      <w:bookmarkStart w:id="57" w:name="_Toc27648"/>
      <w:bookmarkStart w:id="58" w:name="_Toc24177"/>
      <w:bookmarkStart w:id="59" w:name="_Toc23250"/>
      <w:bookmarkStart w:id="60" w:name="_Toc21436"/>
      <w:r>
        <w:rPr>
          <w:rFonts w:hint="eastAsia" w:ascii="仿宋" w:hAnsi="仿宋" w:eastAsia="仿宋" w:cs="仿宋"/>
          <w:b/>
          <w:bCs/>
          <w:color w:val="auto"/>
          <w:sz w:val="32"/>
          <w:szCs w:val="32"/>
          <w:highlight w:val="none"/>
          <w:lang w:eastAsia="zh-CN"/>
        </w:rPr>
        <w:t>三</w:t>
      </w:r>
      <w:r>
        <w:rPr>
          <w:rFonts w:hint="eastAsia" w:ascii="仿宋" w:hAnsi="仿宋" w:eastAsia="仿宋" w:cs="仿宋"/>
          <w:b/>
          <w:bCs/>
          <w:color w:val="auto"/>
          <w:sz w:val="32"/>
          <w:szCs w:val="32"/>
          <w:highlight w:val="none"/>
        </w:rPr>
        <w:t>、采购合同</w:t>
      </w:r>
      <w:bookmarkEnd w:id="57"/>
      <w:bookmarkEnd w:id="58"/>
      <w:bookmarkEnd w:id="59"/>
    </w:p>
    <w:p w14:paraId="726B4C04">
      <w:pPr>
        <w:pageBreakBefore w:val="0"/>
        <w:kinsoku/>
        <w:overflowPunct/>
        <w:topLinePunct w:val="0"/>
        <w:bidi w:val="0"/>
        <w:spacing w:line="360" w:lineRule="auto"/>
        <w:ind w:left="0" w:lef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发包人与成交供应商</w:t>
      </w:r>
      <w:r>
        <w:rPr>
          <w:rFonts w:hint="eastAsia" w:ascii="仿宋" w:hAnsi="仿宋" w:eastAsia="仿宋" w:cs="仿宋"/>
          <w:color w:val="auto"/>
          <w:sz w:val="28"/>
          <w:szCs w:val="28"/>
          <w:highlight w:val="none"/>
        </w:rPr>
        <w:t>自行</w:t>
      </w:r>
      <w:r>
        <w:rPr>
          <w:rFonts w:hint="eastAsia" w:ascii="仿宋" w:hAnsi="仿宋" w:eastAsia="仿宋" w:cs="仿宋"/>
          <w:color w:val="auto"/>
          <w:sz w:val="28"/>
          <w:szCs w:val="28"/>
          <w:highlight w:val="none"/>
          <w:lang w:eastAsia="zh-CN"/>
        </w:rPr>
        <w:t>协商</w:t>
      </w:r>
      <w:r>
        <w:rPr>
          <w:rFonts w:hint="eastAsia" w:ascii="仿宋" w:hAnsi="仿宋" w:eastAsia="仿宋" w:cs="仿宋"/>
          <w:color w:val="auto"/>
          <w:sz w:val="28"/>
          <w:szCs w:val="28"/>
          <w:highlight w:val="none"/>
        </w:rPr>
        <w:t>拟定</w:t>
      </w:r>
      <w:bookmarkEnd w:id="56"/>
      <w:r>
        <w:rPr>
          <w:rFonts w:hint="eastAsia" w:ascii="仿宋" w:hAnsi="仿宋" w:eastAsia="仿宋" w:cs="仿宋"/>
          <w:color w:val="auto"/>
          <w:sz w:val="28"/>
          <w:szCs w:val="28"/>
          <w:highlight w:val="none"/>
        </w:rPr>
        <w:t>）</w:t>
      </w:r>
      <w:bookmarkEnd w:id="60"/>
    </w:p>
    <w:p w14:paraId="4A044BCA">
      <w:pPr>
        <w:pStyle w:val="4"/>
        <w:keepNext/>
        <w:keepLines/>
        <w:pageBreakBefore w:val="0"/>
        <w:widowControl w:val="0"/>
        <w:kinsoku/>
        <w:wordWrap/>
        <w:overflowPunct/>
        <w:topLinePunct w:val="0"/>
        <w:autoSpaceDE/>
        <w:autoSpaceDN/>
        <w:bidi w:val="0"/>
        <w:adjustRightInd w:val="0"/>
        <w:snapToGrid/>
        <w:spacing w:before="0" w:beforeLines="0" w:after="0" w:afterLines="0" w:line="240" w:lineRule="auto"/>
        <w:jc w:val="both"/>
        <w:textAlignment w:val="baseline"/>
        <w:outlineLvl w:val="0"/>
        <w:rPr>
          <w:rFonts w:hint="eastAsia" w:ascii="仿宋" w:hAnsi="仿宋" w:eastAsia="仿宋" w:cs="仿宋"/>
          <w:color w:val="auto"/>
          <w:sz w:val="32"/>
          <w:szCs w:val="32"/>
          <w:highlight w:val="none"/>
          <w:lang w:eastAsia="zh-CN"/>
        </w:rPr>
      </w:pPr>
      <w:bookmarkStart w:id="61" w:name="_Hlt509649294"/>
      <w:bookmarkEnd w:id="61"/>
      <w:bookmarkStart w:id="62" w:name="_Hlt509649414"/>
      <w:bookmarkEnd w:id="62"/>
      <w:bookmarkStart w:id="63" w:name="_Toc9917"/>
      <w:bookmarkStart w:id="64" w:name="_Toc8970"/>
      <w:bookmarkStart w:id="65" w:name="_Toc3282"/>
      <w:bookmarkStart w:id="66" w:name="_Toc26981"/>
    </w:p>
    <w:p w14:paraId="137A9066">
      <w:pPr>
        <w:rPr>
          <w:rFonts w:hint="eastAsia" w:ascii="仿宋" w:hAnsi="仿宋" w:eastAsia="仿宋" w:cs="仿宋"/>
          <w:color w:val="auto"/>
          <w:sz w:val="32"/>
          <w:szCs w:val="32"/>
          <w:highlight w:val="none"/>
          <w:lang w:eastAsia="zh-CN"/>
        </w:rPr>
      </w:pPr>
    </w:p>
    <w:p w14:paraId="23F5C204">
      <w:pPr>
        <w:pStyle w:val="32"/>
        <w:rPr>
          <w:rFonts w:hint="eastAsia"/>
          <w:color w:val="auto"/>
          <w:highlight w:val="none"/>
          <w:lang w:eastAsia="zh-CN"/>
        </w:rPr>
      </w:pPr>
    </w:p>
    <w:p w14:paraId="25673A60">
      <w:pPr>
        <w:pStyle w:val="32"/>
        <w:rPr>
          <w:rFonts w:hint="eastAsia"/>
          <w:color w:val="auto"/>
          <w:highlight w:val="none"/>
          <w:lang w:eastAsia="zh-CN"/>
        </w:rPr>
      </w:pPr>
    </w:p>
    <w:p w14:paraId="492227E3">
      <w:pPr>
        <w:pStyle w:val="4"/>
        <w:keepNext/>
        <w:keepLines/>
        <w:pageBreakBefore w:val="0"/>
        <w:widowControl w:val="0"/>
        <w:kinsoku/>
        <w:wordWrap/>
        <w:overflowPunct/>
        <w:topLinePunct w:val="0"/>
        <w:autoSpaceDE/>
        <w:autoSpaceDN/>
        <w:bidi w:val="0"/>
        <w:adjustRightInd w:val="0"/>
        <w:snapToGrid/>
        <w:spacing w:before="0" w:beforeLines="0" w:after="0" w:afterLines="0" w:line="240" w:lineRule="auto"/>
        <w:jc w:val="center"/>
        <w:textAlignment w:val="baseline"/>
        <w:outlineLvl w:val="0"/>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、采购需求</w:t>
      </w:r>
      <w:bookmarkEnd w:id="63"/>
      <w:bookmarkEnd w:id="64"/>
      <w:bookmarkEnd w:id="65"/>
      <w:bookmarkEnd w:id="66"/>
    </w:p>
    <w:p w14:paraId="F2C787D2">
      <w:pPr>
        <w:keepNext/>
        <w:keepLines/>
        <w:widowControl w:val="0"/>
        <w:bidi w:val="0"/>
        <w:adjustRightInd w:val="0"/>
        <w:spacing w:before="260" w:after="260" w:line="416" w:lineRule="atLeast"/>
        <w:ind w:left="0" w:leftChars="0" w:firstLine="0" w:firstLineChars="0"/>
        <w:jc w:val="left"/>
        <w:textAlignment w:val="baseline"/>
        <w:outlineLvl w:val="1"/>
        <w:rPr>
          <w:rFonts w:hint="eastAsia" w:ascii="仿宋" w:hAnsi="仿宋" w:eastAsia="仿宋" w:cs="仿宋"/>
          <w:b/>
          <w:kern w:val="0"/>
          <w:sz w:val="28"/>
          <w:szCs w:val="28"/>
          <w:lang w:val="en-US" w:eastAsia="zh-CN" w:bidi="ar-SA"/>
        </w:rPr>
      </w:pPr>
      <w:bookmarkStart w:id="67" w:name="_Toc25911"/>
      <w:bookmarkStart w:id="68" w:name="_Toc21831"/>
      <w:bookmarkStart w:id="69" w:name="_Toc1844"/>
      <w:r>
        <w:rPr>
          <w:rFonts w:hint="eastAsia" w:ascii="仿宋" w:hAnsi="仿宋" w:eastAsia="仿宋" w:cs="仿宋"/>
          <w:b/>
          <w:kern w:val="0"/>
          <w:sz w:val="28"/>
          <w:szCs w:val="28"/>
          <w:lang w:val="en-US" w:eastAsia="zh-CN" w:bidi="ar-SA"/>
        </w:rPr>
        <w:t>1、项目背景</w:t>
      </w:r>
    </w:p>
    <w:p w14:paraId="4E370E65">
      <w:pPr>
        <w:keepNext w:val="0"/>
        <w:keepLines w:val="0"/>
        <w:widowControl/>
        <w:suppressLineNumbers w:val="0"/>
        <w:spacing w:line="360" w:lineRule="auto"/>
        <w:ind w:firstLine="560" w:firstLineChars="200"/>
        <w:jc w:val="left"/>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为提高医保服务效率，创新服务模式，拓宽参保群众获取医保政策和医保经办服务的渠道，市医疗保障局计划利用人工智能技术提供医保智能客服服务。</w:t>
      </w:r>
    </w:p>
    <w:p w14:paraId="37813849">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以提升群众获得感和满意度为核心目标，坚持政策集成优化、管理规范统一、服务高效便捷的原则，以信息化建设为关键突破口，深度融合人工智能技术，特别是引入大模型能力，打造集“智能精准回复、业务办理辅助、数据驱动分析”于一体的医保服务大模型客服平台。以“用人工智能提升服务效率”为核心定位，聚焦大模型技术在智能客服领域的应用，旨在通过AI能力优化服务流程，提升服务质量与效率。通过智能化手段延伸服务触角，在热线电话及线上渠道实现7×24h不间断服务响应，有效弥补基层服务力量短板，提升服务标准化与可及性。</w:t>
      </w:r>
    </w:p>
    <w:p w14:paraId="6EF5A79B">
      <w:pPr>
        <w:keepNext/>
        <w:keepLines/>
        <w:widowControl w:val="0"/>
        <w:bidi w:val="0"/>
        <w:adjustRightInd w:val="0"/>
        <w:spacing w:before="260" w:after="260" w:line="416" w:lineRule="atLeast"/>
        <w:ind w:left="0" w:leftChars="0" w:firstLine="0" w:firstLineChars="0"/>
        <w:jc w:val="left"/>
        <w:textAlignment w:val="baseline"/>
        <w:outlineLvl w:val="1"/>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2、建设要求</w:t>
      </w:r>
    </w:p>
    <w:p w14:paraId="54DB1BF1">
      <w:pPr>
        <w:bidi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.软硬件要求：</w:t>
      </w:r>
      <w:r>
        <w:rPr>
          <w:rFonts w:hint="eastAsia" w:ascii="仿宋" w:hAnsi="仿宋" w:eastAsia="仿宋" w:cs="仿宋"/>
          <w:sz w:val="28"/>
          <w:szCs w:val="28"/>
        </w:rPr>
        <w:t>与本项目运行相关的硬件、软件由</w:t>
      </w:r>
      <w:r>
        <w:rPr>
          <w:rFonts w:hint="eastAsia" w:ascii="仿宋" w:hAnsi="仿宋" w:eastAsia="仿宋" w:cs="仿宋"/>
          <w:sz w:val="28"/>
          <w:szCs w:val="28"/>
          <w:lang w:val="en-US" w:eastAsia="zh-CN"/>
        </w:rPr>
        <w:t>投标供应商</w:t>
      </w:r>
      <w:r>
        <w:rPr>
          <w:rFonts w:hint="eastAsia" w:ascii="仿宋" w:hAnsi="仿宋" w:eastAsia="仿宋" w:cs="仿宋"/>
          <w:sz w:val="28"/>
          <w:szCs w:val="28"/>
        </w:rPr>
        <w:t>提供。其中，硬件包括服务器、算力卡、存储及网络资源等</w:t>
      </w:r>
      <w:r>
        <w:rPr>
          <w:rFonts w:hint="eastAsia" w:ascii="仿宋" w:hAnsi="仿宋" w:eastAsia="仿宋" w:cs="仿宋"/>
          <w:sz w:val="28"/>
          <w:szCs w:val="28"/>
          <w:lang w:eastAsia="zh-CN"/>
        </w:rPr>
        <w:t>；</w:t>
      </w:r>
      <w:r>
        <w:rPr>
          <w:rFonts w:hint="eastAsia" w:ascii="仿宋" w:hAnsi="仿宋" w:eastAsia="仿宋" w:cs="仿宋"/>
          <w:sz w:val="28"/>
          <w:szCs w:val="28"/>
        </w:rPr>
        <w:t>软件功能设置应符合本项目服务需要。</w:t>
      </w:r>
      <w:r>
        <w:rPr>
          <w:rFonts w:hint="eastAsia" w:ascii="仿宋" w:hAnsi="仿宋" w:eastAsia="仿宋" w:cs="仿宋"/>
          <w:sz w:val="28"/>
          <w:szCs w:val="28"/>
          <w:lang w:val="en-US" w:eastAsia="zh-CN"/>
        </w:rPr>
        <w:t>供应商</w:t>
      </w:r>
      <w:r>
        <w:rPr>
          <w:rFonts w:hint="eastAsia" w:ascii="仿宋" w:hAnsi="仿宋" w:eastAsia="仿宋" w:cs="仿宋"/>
          <w:sz w:val="28"/>
          <w:szCs w:val="28"/>
        </w:rPr>
        <w:t>提供足够的算力，确保答复平均响应时长</w:t>
      </w:r>
      <w:r>
        <w:rPr>
          <w:rFonts w:hint="eastAsia" w:ascii="仿宋" w:hAnsi="仿宋" w:eastAsia="仿宋" w:cs="仿宋"/>
          <w:sz w:val="28"/>
          <w:szCs w:val="28"/>
          <w:highlight w:val="none"/>
        </w:rPr>
        <w:t>不超过</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秒</w:t>
      </w:r>
      <w:r>
        <w:rPr>
          <w:rFonts w:hint="eastAsia" w:ascii="仿宋" w:hAnsi="仿宋" w:eastAsia="仿宋" w:cs="仿宋"/>
          <w:sz w:val="28"/>
          <w:szCs w:val="28"/>
        </w:rPr>
        <w:t>，不得因算力不够，导致答复内容出现常识性错误。</w:t>
      </w:r>
    </w:p>
    <w:p w14:paraId="A812262C">
      <w:pPr>
        <w:bidi w:val="0"/>
        <w:spacing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.人机交互：</w:t>
      </w:r>
      <w:r>
        <w:rPr>
          <w:rFonts w:hint="eastAsia" w:ascii="仿宋" w:hAnsi="仿宋" w:eastAsia="仿宋" w:cs="仿宋"/>
          <w:sz w:val="28"/>
          <w:szCs w:val="28"/>
        </w:rPr>
        <w:t>支持参保群众通过语音直接问答，通过语音指令替代传统手动输入，实现语音与文字的智能互通</w:t>
      </w:r>
      <w:r>
        <w:rPr>
          <w:rFonts w:hint="eastAsia" w:ascii="仿宋" w:hAnsi="仿宋" w:eastAsia="仿宋" w:cs="仿宋"/>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虚拟人物</w:t>
      </w:r>
      <w:r>
        <w:rPr>
          <w:rFonts w:hint="eastAsia" w:ascii="仿宋" w:hAnsi="仿宋" w:eastAsia="仿宋" w:cs="仿宋"/>
          <w:sz w:val="28"/>
          <w:szCs w:val="28"/>
        </w:rPr>
        <w:t>形象，实现7x24小时全天候语音对话服务，同步支持语音播报与文字展示。</w:t>
      </w:r>
      <w:r>
        <w:rPr>
          <w:rFonts w:hint="eastAsia" w:ascii="仿宋" w:hAnsi="仿宋" w:eastAsia="仿宋" w:cs="仿宋"/>
          <w:sz w:val="28"/>
          <w:szCs w:val="28"/>
          <w:lang w:val="en-US" w:eastAsia="zh-CN"/>
        </w:rPr>
        <w:t>投标供应商</w:t>
      </w:r>
      <w:r>
        <w:rPr>
          <w:rFonts w:hint="eastAsia" w:ascii="仿宋" w:hAnsi="仿宋" w:eastAsia="仿宋" w:cs="仿宋"/>
          <w:sz w:val="28"/>
          <w:szCs w:val="28"/>
        </w:rPr>
        <w:t>应做好拟人化人机交互，实现多轮交互，注重意图识别和</w:t>
      </w:r>
      <w:r>
        <w:rPr>
          <w:rFonts w:hint="eastAsia" w:ascii="仿宋" w:hAnsi="仿宋" w:eastAsia="仿宋" w:cs="仿宋"/>
          <w:sz w:val="28"/>
          <w:szCs w:val="28"/>
          <w:lang w:val="en-US" w:eastAsia="zh-CN"/>
        </w:rPr>
        <w:t>问题引导。</w:t>
      </w:r>
    </w:p>
    <w:p w14:paraId="6E56603B">
      <w:pPr>
        <w:bidi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3</w:t>
      </w:r>
      <w:r>
        <w:rPr>
          <w:rFonts w:hint="eastAsia" w:ascii="仿宋" w:hAnsi="仿宋" w:eastAsia="仿宋" w:cs="仿宋"/>
          <w:b/>
          <w:bCs/>
          <w:sz w:val="28"/>
          <w:szCs w:val="28"/>
          <w:lang w:val="en-US" w:eastAsia="zh-CN"/>
        </w:rPr>
        <w:t>.后台操作：</w:t>
      </w:r>
      <w:r>
        <w:rPr>
          <w:rFonts w:hint="eastAsia" w:ascii="仿宋" w:hAnsi="仿宋" w:eastAsia="仿宋" w:cs="仿宋"/>
          <w:sz w:val="28"/>
          <w:szCs w:val="28"/>
        </w:rPr>
        <w:t>提供智能客服操作系统，可进行数据查询、导出</w:t>
      </w:r>
      <w:r>
        <w:rPr>
          <w:rFonts w:hint="eastAsia" w:ascii="仿宋" w:hAnsi="仿宋" w:eastAsia="仿宋" w:cs="仿宋"/>
          <w:sz w:val="28"/>
          <w:szCs w:val="28"/>
          <w:lang w:eastAsia="zh-CN"/>
        </w:rPr>
        <w:t>、</w:t>
      </w:r>
      <w:r>
        <w:rPr>
          <w:rFonts w:hint="eastAsia" w:ascii="仿宋" w:hAnsi="仿宋" w:eastAsia="仿宋" w:cs="仿宋"/>
          <w:sz w:val="28"/>
          <w:szCs w:val="28"/>
        </w:rPr>
        <w:t>统计分析以及知识库维护等操作。智能客服系统后台应配置必要的功能，为医保管理人员提供灵活的系统管理工具，包括但不限于词义联想、上下文记忆、置信度动态设置、智能客服状态配置、满意度调研、交互式引导、智能引导与分流等。系统后台应记录显示每条问答响应时长。</w:t>
      </w:r>
    </w:p>
    <w:p w14:paraId="3B3BB969">
      <w:pPr>
        <w:bidi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sz w:val="28"/>
          <w:szCs w:val="28"/>
          <w:lang w:val="en-US" w:eastAsia="zh-CN"/>
        </w:rPr>
        <w:t>.数据分析：</w:t>
      </w:r>
      <w:r>
        <w:rPr>
          <w:rFonts w:hint="eastAsia" w:ascii="仿宋" w:hAnsi="仿宋" w:eastAsia="仿宋" w:cs="仿宋"/>
          <w:sz w:val="28"/>
          <w:szCs w:val="28"/>
        </w:rPr>
        <w:t>部署的医保智能客服系统，应设置数据统计分析功能。利用人工智能技术实现对参保人咨询内容进行分类，可从医保业务类型、政策咨询、经办咨询、高频问题、复杂问题、参保人员等维度进行统计。</w:t>
      </w:r>
    </w:p>
    <w:p w14:paraId="D639B0D4">
      <w:pPr>
        <w:widowControl w:val="0"/>
        <w:shd w:val="clear" w:color="auto" w:fill="auto"/>
        <w:spacing w:after="120" w:line="360" w:lineRule="auto"/>
        <w:ind w:firstLine="562"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5.分线辅助：</w:t>
      </w:r>
      <w:r>
        <w:rPr>
          <w:rFonts w:hint="eastAsia" w:ascii="仿宋" w:hAnsi="仿宋" w:eastAsia="仿宋" w:cs="仿宋"/>
          <w:kern w:val="2"/>
          <w:sz w:val="28"/>
          <w:szCs w:val="28"/>
          <w:highlight w:val="none"/>
          <w:lang w:val="en-US" w:eastAsia="zh-CN" w:bidi="ar-SA"/>
        </w:rPr>
        <w:t>在医保分线人工客服PC端部署医保智能客服系统，实现语音与文字双输入模式，并生成答复内容，为人工客服坐席提供技术支持。系统可提供高频问题、常见问题以及历史记录查询功能，进一步提高服务效率。</w:t>
      </w:r>
    </w:p>
    <w:p w14:paraId="2FB7BECB">
      <w:pPr>
        <w:widowControl w:val="0"/>
        <w:shd w:val="clear" w:color="auto" w:fill="auto"/>
        <w:spacing w:after="120" w:line="360" w:lineRule="auto"/>
        <w:ind w:firstLine="562"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6.客服电话接入：</w:t>
      </w:r>
      <w:r>
        <w:rPr>
          <w:rFonts w:hint="eastAsia" w:ascii="仿宋" w:hAnsi="仿宋" w:eastAsia="仿宋" w:cs="仿宋"/>
          <w:b w:val="0"/>
          <w:bCs w:val="0"/>
          <w:color w:val="auto"/>
          <w:spacing w:val="0"/>
          <w:kern w:val="2"/>
          <w:position w:val="0"/>
          <w:sz w:val="28"/>
          <w:szCs w:val="28"/>
          <w:highlight w:val="none"/>
          <w:lang w:val="en-US" w:eastAsia="zh-CN" w:bidi="ar-SA"/>
        </w:rPr>
        <w:t>支持六安市四县三区的医保经办咨询服务电话的接入，提供客户电话咨询智能应答。</w:t>
      </w:r>
    </w:p>
    <w:p w14:paraId="3BBD54C0">
      <w:pPr>
        <w:widowControl w:val="0"/>
        <w:shd w:val="clear" w:color="auto" w:fill="auto"/>
        <w:spacing w:after="120" w:line="360" w:lineRule="auto"/>
        <w:ind w:firstLine="562"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7.功能训练：</w:t>
      </w:r>
      <w:r>
        <w:rPr>
          <w:rFonts w:hint="eastAsia" w:ascii="仿宋" w:hAnsi="仿宋" w:eastAsia="仿宋" w:cs="仿宋"/>
          <w:kern w:val="2"/>
          <w:sz w:val="28"/>
          <w:szCs w:val="28"/>
          <w:highlight w:val="none"/>
          <w:lang w:val="en-US" w:eastAsia="zh-CN" w:bidi="ar-SA"/>
        </w:rPr>
        <w:t>在部署和使用医保局提供的知识库时，应做到与互联网隔离，杜绝数据污染情况发生。在医保局维护好知识库的情况下，供应商负责人工智能客服功能训练，提高答复准确度，避免知识点应用错误；出现应用错误时，应及时告知，并给出处理意见。供应商提供的系统应做好知识库维护日志记录，支持知识库迭代并可一次性导出。</w:t>
      </w:r>
    </w:p>
    <w:p w14:paraId="0AD4488D">
      <w:pPr>
        <w:widowControl w:val="0"/>
        <w:shd w:val="clear" w:color="auto" w:fill="auto"/>
        <w:spacing w:after="120" w:line="360" w:lineRule="auto"/>
        <w:ind w:firstLine="562"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8.数据安全：</w:t>
      </w:r>
      <w:r>
        <w:rPr>
          <w:rFonts w:hint="eastAsia" w:ascii="仿宋" w:hAnsi="仿宋" w:eastAsia="仿宋" w:cs="仿宋"/>
          <w:kern w:val="2"/>
          <w:sz w:val="28"/>
          <w:szCs w:val="28"/>
          <w:highlight w:val="none"/>
          <w:lang w:val="en-US" w:eastAsia="zh-CN" w:bidi="ar-SA"/>
        </w:rPr>
        <w:t>做好数据安全保障，杜绝出现数据丢失和被盗用情况。</w:t>
      </w:r>
    </w:p>
    <w:p w14:paraId="3B12FC58">
      <w:pPr>
        <w:widowControl w:val="0"/>
        <w:shd w:val="clear" w:color="auto" w:fill="auto"/>
        <w:spacing w:after="120" w:line="360" w:lineRule="auto"/>
        <w:ind w:firstLine="562" w:firstLineChars="200"/>
        <w:jc w:val="both"/>
        <w:rPr>
          <w:rFonts w:hint="eastAsia" w:ascii="仿宋" w:hAnsi="仿宋" w:eastAsia="仿宋" w:cs="仿宋"/>
          <w:b w:val="0"/>
          <w:bCs w:val="0"/>
          <w:color w:val="auto"/>
          <w:spacing w:val="0"/>
          <w:kern w:val="2"/>
          <w:position w:val="0"/>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9.部署方式：</w:t>
      </w:r>
      <w:r>
        <w:rPr>
          <w:rFonts w:hint="eastAsia" w:ascii="仿宋" w:hAnsi="仿宋" w:eastAsia="仿宋" w:cs="仿宋"/>
          <w:b w:val="0"/>
          <w:bCs w:val="0"/>
          <w:color w:val="auto"/>
          <w:kern w:val="2"/>
          <w:sz w:val="28"/>
          <w:szCs w:val="28"/>
          <w:highlight w:val="none"/>
          <w:lang w:val="en-US" w:eastAsia="zh-CN" w:bidi="ar-SA"/>
        </w:rPr>
        <w:t>根据采购方工作需要及要求，</w:t>
      </w:r>
      <w:r>
        <w:rPr>
          <w:rFonts w:hint="eastAsia" w:ascii="仿宋" w:hAnsi="仿宋" w:eastAsia="仿宋" w:cs="仿宋"/>
          <w:b w:val="0"/>
          <w:bCs w:val="0"/>
          <w:color w:val="auto"/>
          <w:spacing w:val="0"/>
          <w:kern w:val="2"/>
          <w:position w:val="0"/>
          <w:sz w:val="28"/>
          <w:szCs w:val="28"/>
          <w:highlight w:val="none"/>
          <w:lang w:val="en-US" w:eastAsia="zh-CN" w:bidi="ar-SA"/>
        </w:rPr>
        <w:t>实现医疗保障智能服务在六安市医保局官方网站、皖事通、微信（公众号）、支付宝等多平台部署。</w:t>
      </w:r>
    </w:p>
    <w:p w14:paraId="5B7051EA">
      <w:pPr>
        <w:keepNext/>
        <w:keepLines/>
        <w:widowControl w:val="0"/>
        <w:bidi w:val="0"/>
        <w:adjustRightInd w:val="0"/>
        <w:spacing w:before="260" w:after="260" w:line="416" w:lineRule="atLeast"/>
        <w:ind w:left="0" w:leftChars="0" w:firstLine="0" w:firstLineChars="0"/>
        <w:jc w:val="left"/>
        <w:textAlignment w:val="baseline"/>
        <w:outlineLvl w:val="1"/>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3、技术要求</w:t>
      </w:r>
    </w:p>
    <w:tbl>
      <w:tblPr>
        <w:tblStyle w:val="33"/>
        <w:tblpPr w:leftFromText="180" w:rightFromText="180" w:vertAnchor="text" w:horzAnchor="page" w:tblpX="1637" w:tblpY="516"/>
        <w:tblOverlap w:val="never"/>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7513"/>
      </w:tblGrid>
      <w:tr w14:paraId="8D9A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8" w:type="dxa"/>
            <w:gridSpan w:val="2"/>
            <w:tcBorders>
              <w:tl2br w:val="nil"/>
              <w:tr2bl w:val="nil"/>
            </w:tcBorders>
            <w:vAlign w:val="center"/>
          </w:tcPr>
          <w:p w14:paraId="49025ACA">
            <w:pPr>
              <w:keepNext w:val="0"/>
              <w:keepLines w:val="0"/>
              <w:pageBreakBefore w:val="0"/>
              <w:shd w:val="clear" w:color="auto" w:fill="auto"/>
              <w:kinsoku/>
              <w:wordWrap/>
              <w:overflowPunct/>
              <w:topLinePunct w:val="0"/>
              <w:autoSpaceDE/>
              <w:autoSpaceDN/>
              <w:bidi w:val="0"/>
              <w:spacing w:line="360" w:lineRule="auto"/>
              <w:ind w:left="0" w:leftChars="0"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技术参数</w:t>
            </w:r>
          </w:p>
        </w:tc>
      </w:tr>
      <w:tr w14:paraId="6B96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8" w:type="dxa"/>
            <w:gridSpan w:val="2"/>
            <w:tcBorders>
              <w:tl2br w:val="nil"/>
              <w:tr2bl w:val="nil"/>
            </w:tcBorders>
            <w:vAlign w:val="center"/>
          </w:tcPr>
          <w:p w14:paraId="14871087">
            <w:pPr>
              <w:keepNext w:val="0"/>
              <w:keepLines w:val="0"/>
              <w:pageBreakBefore w:val="0"/>
              <w:shd w:val="clear" w:color="auto" w:fill="auto"/>
              <w:kinsoku/>
              <w:wordWrap/>
              <w:overflowPunct/>
              <w:topLinePunct w:val="0"/>
              <w:autoSpaceDE/>
              <w:autoSpaceDN/>
              <w:bidi w:val="0"/>
              <w:spacing w:line="360" w:lineRule="auto"/>
              <w:ind w:left="0" w:leftChars="0" w:firstLine="0" w:firstLineChars="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一、智能客服系统</w:t>
            </w:r>
          </w:p>
        </w:tc>
      </w:tr>
      <w:tr w14:paraId="F6D6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93D52211">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w:t>
            </w:r>
          </w:p>
        </w:tc>
        <w:tc>
          <w:tcPr>
            <w:tcW w:w="7513" w:type="dxa"/>
            <w:tcBorders>
              <w:tl2br w:val="nil"/>
              <w:tr2bl w:val="nil"/>
            </w:tcBorders>
            <w:shd w:val="clear" w:color="auto" w:fill="auto"/>
            <w:vAlign w:val="center"/>
          </w:tcPr>
          <w:p w14:paraId="282561B8">
            <w:pPr>
              <w:widowControl w:val="0"/>
              <w:bidi w:val="0"/>
              <w:spacing w:line="360" w:lineRule="auto"/>
              <w:ind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多渠道接入</w:t>
            </w:r>
          </w:p>
        </w:tc>
      </w:tr>
      <w:tr w14:paraId="955E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0E3CB654">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w:t>
            </w:r>
          </w:p>
        </w:tc>
        <w:tc>
          <w:tcPr>
            <w:tcW w:w="7513" w:type="dxa"/>
            <w:tcBorders>
              <w:tl2br w:val="nil"/>
              <w:tr2bl w:val="nil"/>
            </w:tcBorders>
            <w:shd w:val="clear" w:color="auto" w:fill="auto"/>
            <w:vAlign w:val="center"/>
          </w:tcPr>
          <w:p w14:paraId="BE5480CB">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支持网络渠道（如官方网站、公众号、小程序等）和电话热线渠道部署。</w:t>
            </w:r>
          </w:p>
        </w:tc>
      </w:tr>
      <w:tr w14:paraId="C822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E53E677E">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w:t>
            </w:r>
          </w:p>
        </w:tc>
        <w:tc>
          <w:tcPr>
            <w:tcW w:w="7513" w:type="dxa"/>
            <w:tcBorders>
              <w:tl2br w:val="nil"/>
              <w:tr2bl w:val="nil"/>
            </w:tcBorders>
            <w:shd w:val="clear" w:color="auto" w:fill="auto"/>
            <w:vAlign w:val="center"/>
          </w:tcPr>
          <w:p w14:paraId="1DBA4224">
            <w:pPr>
              <w:widowControl w:val="0"/>
              <w:bidi w:val="0"/>
              <w:spacing w:line="360" w:lineRule="auto"/>
              <w:ind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知识梳理</w:t>
            </w:r>
          </w:p>
        </w:tc>
      </w:tr>
      <w:tr w14:paraId="CFF9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1B5BFE92">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w:t>
            </w:r>
          </w:p>
        </w:tc>
        <w:tc>
          <w:tcPr>
            <w:tcW w:w="7513" w:type="dxa"/>
            <w:tcBorders>
              <w:tl2br w:val="nil"/>
              <w:tr2bl w:val="nil"/>
            </w:tcBorders>
            <w:shd w:val="clear" w:color="auto" w:fill="auto"/>
            <w:vAlign w:val="center"/>
          </w:tcPr>
          <w:p w14:paraId="591D32C4">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制定业务分类标准协助客户梳理医疗保障政策、经办流程及相关知识库。</w:t>
            </w:r>
          </w:p>
        </w:tc>
      </w:tr>
      <w:tr w14:paraId="3BA3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7873C4E2">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w:t>
            </w:r>
          </w:p>
        </w:tc>
        <w:tc>
          <w:tcPr>
            <w:tcW w:w="7513" w:type="dxa"/>
            <w:tcBorders>
              <w:tl2br w:val="nil"/>
              <w:tr2bl w:val="nil"/>
            </w:tcBorders>
            <w:shd w:val="clear" w:color="auto" w:fill="auto"/>
            <w:vAlign w:val="center"/>
          </w:tcPr>
          <w:p w14:paraId="D2D1E651">
            <w:pPr>
              <w:widowControl w:val="0"/>
              <w:bidi w:val="0"/>
              <w:spacing w:line="360" w:lineRule="auto"/>
              <w:ind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智能电话客服</w:t>
            </w:r>
          </w:p>
        </w:tc>
      </w:tr>
      <w:tr w14:paraId="CBB8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34648802">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w:t>
            </w:r>
          </w:p>
        </w:tc>
        <w:tc>
          <w:tcPr>
            <w:tcW w:w="7513" w:type="dxa"/>
            <w:tcBorders>
              <w:tl2br w:val="nil"/>
              <w:tr2bl w:val="nil"/>
            </w:tcBorders>
            <w:shd w:val="clear" w:color="auto" w:fill="auto"/>
            <w:vAlign w:val="center"/>
          </w:tcPr>
          <w:p w14:paraId="F1456883">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支持语音识别、意图理解、语音合成、上下文继承、智能打断等语音自助交互功能。</w:t>
            </w:r>
          </w:p>
        </w:tc>
      </w:tr>
      <w:tr w14:paraId="98EC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4C1EA40B">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w:t>
            </w:r>
          </w:p>
        </w:tc>
        <w:tc>
          <w:tcPr>
            <w:tcW w:w="7513" w:type="dxa"/>
            <w:tcBorders>
              <w:tl2br w:val="nil"/>
              <w:tr2bl w:val="nil"/>
            </w:tcBorders>
            <w:shd w:val="clear" w:color="auto" w:fill="auto"/>
            <w:vAlign w:val="center"/>
          </w:tcPr>
          <w:p w14:paraId="8A3FE190">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支持业务办理指引、政策文件等需留存的信息，系统可自动生成短信并下发至参保人预留手机号，方便后续查阅。</w:t>
            </w:r>
          </w:p>
        </w:tc>
      </w:tr>
      <w:tr w14:paraId="36B1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EB62BB35">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3.3</w:t>
            </w:r>
          </w:p>
        </w:tc>
        <w:tc>
          <w:tcPr>
            <w:tcW w:w="7513" w:type="dxa"/>
            <w:tcBorders>
              <w:tl2br w:val="nil"/>
              <w:tr2bl w:val="nil"/>
            </w:tcBorders>
            <w:shd w:val="clear" w:color="auto" w:fill="auto"/>
            <w:vAlign w:val="center"/>
          </w:tcPr>
          <w:p w14:paraId="6C5D4AFD">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支持当参保人需求超出自助服务范围，可一键转接至对应人工坐席，实现自助与人工服务的无缝衔接。</w:t>
            </w:r>
          </w:p>
        </w:tc>
      </w:tr>
      <w:tr w14:paraId="7155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BC60802E">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w:t>
            </w:r>
          </w:p>
        </w:tc>
        <w:tc>
          <w:tcPr>
            <w:tcW w:w="7513" w:type="dxa"/>
            <w:tcBorders>
              <w:tl2br w:val="nil"/>
              <w:tr2bl w:val="nil"/>
            </w:tcBorders>
            <w:shd w:val="clear" w:color="auto" w:fill="auto"/>
            <w:vAlign w:val="center"/>
          </w:tcPr>
          <w:p w14:paraId="609F0526">
            <w:pPr>
              <w:widowControl w:val="0"/>
              <w:bidi w:val="0"/>
              <w:spacing w:line="360" w:lineRule="auto"/>
              <w:ind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智能在线客服</w:t>
            </w:r>
          </w:p>
        </w:tc>
      </w:tr>
      <w:tr w14:paraId="DBC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987FC2FB">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4.1</w:t>
            </w:r>
          </w:p>
        </w:tc>
        <w:tc>
          <w:tcPr>
            <w:tcW w:w="7513" w:type="dxa"/>
            <w:tcBorders>
              <w:tl2br w:val="nil"/>
              <w:tr2bl w:val="nil"/>
            </w:tcBorders>
            <w:shd w:val="clear" w:color="auto" w:fill="auto"/>
            <w:vAlign w:val="center"/>
          </w:tcPr>
          <w:p w14:paraId="80517412">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提供虚拟人物形象，增强体验感知。</w:t>
            </w:r>
          </w:p>
        </w:tc>
      </w:tr>
      <w:tr w14:paraId="531A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Borders>
              <w:tl2br w:val="nil"/>
              <w:tr2bl w:val="nil"/>
            </w:tcBorders>
            <w:shd w:val="clear" w:color="auto" w:fill="auto"/>
            <w:vAlign w:val="center"/>
          </w:tcPr>
          <w:p w14:paraId="F1ACD6ED">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4.2</w:t>
            </w:r>
          </w:p>
        </w:tc>
        <w:tc>
          <w:tcPr>
            <w:tcW w:w="7513" w:type="dxa"/>
            <w:tcBorders>
              <w:tl2br w:val="nil"/>
              <w:tr2bl w:val="nil"/>
            </w:tcBorders>
            <w:shd w:val="clear" w:color="auto" w:fill="auto"/>
            <w:vAlign w:val="center"/>
          </w:tcPr>
          <w:p w14:paraId="CDAB9F8B">
            <w:pPr>
              <w:widowControl w:val="0"/>
              <w:bidi w:val="0"/>
              <w:spacing w:line="360" w:lineRule="auto"/>
              <w:ind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支持用户在手机端通过文本或语音方式输入进行业务咨询，系统回复内容以文本和语音双模态输出的方式，满足用户不同场景下的信息获取需求。</w:t>
            </w:r>
          </w:p>
        </w:tc>
      </w:tr>
      <w:tr w14:paraId="0615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0E1275AB">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4.3</w:t>
            </w:r>
          </w:p>
        </w:tc>
        <w:tc>
          <w:tcPr>
            <w:tcW w:w="7513" w:type="dxa"/>
            <w:tcBorders>
              <w:tl2br w:val="nil"/>
              <w:tr2bl w:val="nil"/>
            </w:tcBorders>
            <w:shd w:val="clear" w:color="auto" w:fill="auto"/>
            <w:vAlign w:val="center"/>
          </w:tcPr>
          <w:p w14:paraId="E6DA66A0">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在用户输入过程中，系统基于语义理解自动联想相关问题，提供输入建议。</w:t>
            </w:r>
          </w:p>
        </w:tc>
      </w:tr>
      <w:tr w14:paraId="A6E1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E71128EA">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4.4</w:t>
            </w:r>
          </w:p>
        </w:tc>
        <w:tc>
          <w:tcPr>
            <w:tcW w:w="7513" w:type="dxa"/>
            <w:tcBorders>
              <w:tl2br w:val="nil"/>
              <w:tr2bl w:val="nil"/>
            </w:tcBorders>
            <w:shd w:val="clear" w:color="auto" w:fill="auto"/>
            <w:vAlign w:val="center"/>
          </w:tcPr>
          <w:p w14:paraId="913D342E">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支持多轮对话中的上下文理解与记忆能力，支持用户对每轮回复的内容进行满意度评价（如点赞、点踩），支持点踩的具体原因选择或自定输入。</w:t>
            </w:r>
          </w:p>
        </w:tc>
      </w:tr>
      <w:tr w14:paraId="E78B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FF759C9D">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4.5</w:t>
            </w:r>
          </w:p>
        </w:tc>
        <w:tc>
          <w:tcPr>
            <w:tcW w:w="7513" w:type="dxa"/>
            <w:tcBorders>
              <w:tl2br w:val="nil"/>
              <w:tr2bl w:val="nil"/>
            </w:tcBorders>
            <w:shd w:val="clear" w:color="auto" w:fill="auto"/>
            <w:vAlign w:val="center"/>
          </w:tcPr>
          <w:p w14:paraId="6B9D1E5A">
            <w:pPr>
              <w:widowControl w:val="0"/>
              <w:bidi w:val="0"/>
              <w:spacing w:line="360" w:lineRule="auto"/>
              <w:ind w:firstLine="0" w:firstLineChars="0"/>
              <w:jc w:val="both"/>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根据用户问题智能推荐强关联性业务，引导用户获取更多相关信息，提升业务服务深度。</w:t>
            </w:r>
          </w:p>
        </w:tc>
      </w:tr>
      <w:tr w14:paraId="862B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500607C7">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4.6</w:t>
            </w:r>
          </w:p>
        </w:tc>
        <w:tc>
          <w:tcPr>
            <w:tcW w:w="7513" w:type="dxa"/>
            <w:tcBorders>
              <w:tl2br w:val="nil"/>
              <w:tr2bl w:val="nil"/>
            </w:tcBorders>
            <w:shd w:val="clear" w:color="auto" w:fill="auto"/>
            <w:vAlign w:val="center"/>
          </w:tcPr>
          <w:p w14:paraId="7A9CB3AE">
            <w:pPr>
              <w:widowControl w:val="0"/>
              <w:bidi w:val="0"/>
              <w:spacing w:line="360" w:lineRule="auto"/>
              <w:ind w:firstLine="0" w:firstLineChars="0"/>
              <w:jc w:val="both"/>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根据近期用户咨询热度数据，动态展示高频业务，通过列表形式推荐至用户界面，引导自助咨询。</w:t>
            </w:r>
          </w:p>
        </w:tc>
      </w:tr>
      <w:tr w14:paraId="C75E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5C0F5ECF">
            <w:pPr>
              <w:widowControl w:val="0"/>
              <w:bidi w:val="0"/>
              <w:ind w:firstLine="0" w:firstLineChars="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4.7</w:t>
            </w:r>
          </w:p>
        </w:tc>
        <w:tc>
          <w:tcPr>
            <w:tcW w:w="7513" w:type="dxa"/>
            <w:tcBorders>
              <w:tl2br w:val="nil"/>
              <w:tr2bl w:val="nil"/>
            </w:tcBorders>
            <w:shd w:val="clear" w:color="auto" w:fill="auto"/>
            <w:vAlign w:val="center"/>
          </w:tcPr>
          <w:p w14:paraId="07179462">
            <w:pPr>
              <w:widowControl w:val="0"/>
              <w:bidi w:val="0"/>
              <w:spacing w:line="360" w:lineRule="auto"/>
              <w:ind w:firstLine="0" w:firstLineChars="0"/>
              <w:jc w:val="both"/>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en-US" w:eastAsia="zh-CN" w:bidi="ar-SA"/>
              </w:rPr>
              <w:t>基于业务场景提供差异化、精准化的回复内容：</w:t>
            </w:r>
            <w:r>
              <w:rPr>
                <w:rFonts w:hint="eastAsia" w:ascii="仿宋" w:hAnsi="仿宋" w:eastAsia="仿宋" w:cs="仿宋"/>
                <w:b w:val="0"/>
                <w:bCs w:val="0"/>
                <w:kern w:val="2"/>
                <w:sz w:val="28"/>
                <w:szCs w:val="28"/>
                <w:lang w:val="en-US" w:eastAsia="zh-CN" w:bidi="ar-SA"/>
              </w:rPr>
              <w:br w:type="textWrapping"/>
            </w:r>
            <w:r>
              <w:rPr>
                <w:rFonts w:hint="eastAsia" w:ascii="仿宋" w:hAnsi="仿宋" w:eastAsia="仿宋" w:cs="仿宋"/>
                <w:b w:val="0"/>
                <w:bCs w:val="0"/>
                <w:kern w:val="2"/>
                <w:sz w:val="28"/>
                <w:szCs w:val="28"/>
                <w:lang w:val="en-US" w:eastAsia="zh-CN" w:bidi="ar-SA"/>
              </w:rPr>
              <w:t>1.针对办理的业务，提供办理渠道、材料清单、流程步骤、办理时限等信息，并提供办理入口，点击可跳转至对应办理页面。</w:t>
            </w:r>
            <w:r>
              <w:rPr>
                <w:rFonts w:hint="eastAsia" w:ascii="仿宋" w:hAnsi="仿宋" w:eastAsia="仿宋" w:cs="仿宋"/>
                <w:b w:val="0"/>
                <w:bCs w:val="0"/>
                <w:kern w:val="2"/>
                <w:sz w:val="28"/>
                <w:szCs w:val="28"/>
                <w:lang w:val="en-US" w:eastAsia="zh-CN" w:bidi="ar-SA"/>
              </w:rPr>
              <w:br w:type="textWrapping"/>
            </w:r>
            <w:r>
              <w:rPr>
                <w:rFonts w:hint="eastAsia" w:ascii="仿宋" w:hAnsi="仿宋" w:eastAsia="仿宋" w:cs="仿宋"/>
                <w:b w:val="0"/>
                <w:bCs w:val="0"/>
                <w:kern w:val="2"/>
                <w:sz w:val="28"/>
                <w:szCs w:val="28"/>
                <w:lang w:val="en-US" w:eastAsia="zh-CN" w:bidi="ar-SA"/>
              </w:rPr>
              <w:t>2.针对信息查询需求（如药品目录、医疗服务价格等），根据输入的条件反馈对应的结果，实现快速精准查询。</w:t>
            </w:r>
            <w:r>
              <w:rPr>
                <w:rFonts w:hint="eastAsia" w:ascii="仿宋" w:hAnsi="仿宋" w:eastAsia="仿宋" w:cs="仿宋"/>
                <w:b w:val="0"/>
                <w:bCs w:val="0"/>
                <w:kern w:val="2"/>
                <w:sz w:val="28"/>
                <w:szCs w:val="28"/>
                <w:lang w:val="en-US" w:eastAsia="zh-CN" w:bidi="ar-SA"/>
              </w:rPr>
              <w:br w:type="textWrapping"/>
            </w:r>
            <w:r>
              <w:rPr>
                <w:rFonts w:hint="eastAsia" w:ascii="仿宋" w:hAnsi="仿宋" w:eastAsia="仿宋" w:cs="仿宋"/>
                <w:b w:val="0"/>
                <w:bCs w:val="0"/>
                <w:kern w:val="2"/>
                <w:sz w:val="28"/>
                <w:szCs w:val="28"/>
                <w:lang w:val="en-US" w:eastAsia="zh-CN" w:bidi="ar-SA"/>
              </w:rPr>
              <w:t>3.针对政策解读、服务说明、操作指导等非事务性问题，提供清晰、结构化的解答。</w:t>
            </w:r>
            <w:r>
              <w:rPr>
                <w:rFonts w:hint="eastAsia" w:ascii="仿宋" w:hAnsi="仿宋" w:eastAsia="仿宋" w:cs="仿宋"/>
                <w:b w:val="0"/>
                <w:bCs w:val="0"/>
                <w:kern w:val="2"/>
                <w:sz w:val="28"/>
                <w:szCs w:val="28"/>
                <w:lang w:val="en-US" w:eastAsia="zh-CN" w:bidi="ar-SA"/>
              </w:rPr>
              <w:br w:type="textWrapping"/>
            </w:r>
            <w:r>
              <w:rPr>
                <w:rFonts w:hint="eastAsia" w:ascii="仿宋" w:hAnsi="仿宋" w:eastAsia="仿宋" w:cs="仿宋"/>
                <w:b w:val="0"/>
                <w:bCs w:val="0"/>
                <w:kern w:val="2"/>
                <w:sz w:val="28"/>
                <w:szCs w:val="28"/>
                <w:lang w:val="en-US" w:eastAsia="zh-CN" w:bidi="ar-SA"/>
              </w:rPr>
              <w:t>4.针对涉及金额、费用、时间等需计算的场景（如补交年限、生育津贴金额计算），用户输入关键信息后可自动生成计算结果与说明。</w:t>
            </w:r>
          </w:p>
        </w:tc>
      </w:tr>
      <w:tr w14:paraId="A4AC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AB32B375">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5</w:t>
            </w:r>
          </w:p>
        </w:tc>
        <w:tc>
          <w:tcPr>
            <w:tcW w:w="7513" w:type="dxa"/>
            <w:tcBorders>
              <w:tl2br w:val="nil"/>
              <w:tr2bl w:val="nil"/>
            </w:tcBorders>
            <w:shd w:val="clear" w:color="auto" w:fill="auto"/>
            <w:vAlign w:val="center"/>
          </w:tcPr>
          <w:p w14:paraId="38582EA0">
            <w:pPr>
              <w:widowControl w:val="0"/>
              <w:bidi w:val="0"/>
              <w:spacing w:line="360" w:lineRule="auto"/>
              <w:ind w:firstLine="0" w:firstLineChars="0"/>
              <w:jc w:val="both"/>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经办辅助</w:t>
            </w:r>
          </w:p>
        </w:tc>
      </w:tr>
      <w:tr w14:paraId="31A2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E39BC4DB">
            <w:pPr>
              <w:widowControl w:val="0"/>
              <w:bidi w:val="0"/>
              <w:ind w:firstLine="0" w:firstLineChars="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5.1</w:t>
            </w:r>
          </w:p>
        </w:tc>
        <w:tc>
          <w:tcPr>
            <w:tcW w:w="7513" w:type="dxa"/>
            <w:tcBorders>
              <w:tl2br w:val="nil"/>
              <w:tr2bl w:val="nil"/>
            </w:tcBorders>
            <w:shd w:val="clear" w:color="auto" w:fill="auto"/>
            <w:vAlign w:val="center"/>
          </w:tcPr>
          <w:p w14:paraId="6CD6234C">
            <w:pPr>
              <w:widowControl w:val="0"/>
              <w:bidi w:val="0"/>
              <w:spacing w:line="360" w:lineRule="auto"/>
              <w:ind w:firstLine="0" w:firstLineChars="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人工座席可使用智能客服的问答能力进行辅助查询，展示当前用户高频咨询问题top10列表，为坐席提供热点问题的快速入口。</w:t>
            </w:r>
          </w:p>
        </w:tc>
      </w:tr>
      <w:tr w14:paraId="8681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2B13798E">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5.2</w:t>
            </w:r>
          </w:p>
        </w:tc>
        <w:tc>
          <w:tcPr>
            <w:tcW w:w="7513" w:type="dxa"/>
            <w:tcBorders>
              <w:tl2br w:val="nil"/>
              <w:tr2bl w:val="nil"/>
            </w:tcBorders>
            <w:shd w:val="clear" w:color="auto" w:fill="auto"/>
            <w:vAlign w:val="center"/>
          </w:tcPr>
          <w:p w14:paraId="671688A6">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展示系统管理员发布的最新公告、服务变更、政策通知等重要信息。坐席登录后可第一时间获取关键信息，确保对外答复口径一致。</w:t>
            </w:r>
          </w:p>
        </w:tc>
      </w:tr>
      <w:tr w14:paraId="EBF0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20E41888">
            <w:pPr>
              <w:widowControl w:val="0"/>
              <w:bidi w:val="0"/>
              <w:ind w:firstLine="0" w:firstLineChars="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5.3</w:t>
            </w:r>
          </w:p>
        </w:tc>
        <w:tc>
          <w:tcPr>
            <w:tcW w:w="7513" w:type="dxa"/>
            <w:tcBorders>
              <w:tl2br w:val="nil"/>
              <w:tr2bl w:val="nil"/>
            </w:tcBorders>
            <w:shd w:val="clear" w:color="auto" w:fill="auto"/>
            <w:vAlign w:val="center"/>
          </w:tcPr>
          <w:p w14:paraId="169BE2CD">
            <w:pPr>
              <w:widowControl w:val="0"/>
              <w:bidi w:val="0"/>
              <w:spacing w:line="360" w:lineRule="auto"/>
              <w:ind w:firstLine="0" w:firstLineChars="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坐席在会话过程中可将优质、标准的回复内容一键收藏至“我的收藏”模块，并可基于收藏内容快速生成回复模板，提升高频问题处理效率。</w:t>
            </w:r>
          </w:p>
        </w:tc>
      </w:tr>
      <w:tr w14:paraId="D62D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77B5E224">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5.4</w:t>
            </w:r>
          </w:p>
        </w:tc>
        <w:tc>
          <w:tcPr>
            <w:tcW w:w="7513" w:type="dxa"/>
            <w:tcBorders>
              <w:tl2br w:val="nil"/>
              <w:tr2bl w:val="nil"/>
            </w:tcBorders>
            <w:shd w:val="clear" w:color="auto" w:fill="auto"/>
            <w:vAlign w:val="center"/>
          </w:tcPr>
          <w:p w14:paraId="183ABE28">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支持管理员对详细会话记录创建标注任务分发给指定业务人员进行标注，标注后提交至管理员，管理员审核通过可对现有知识进行更新。</w:t>
            </w:r>
          </w:p>
        </w:tc>
      </w:tr>
      <w:tr w14:paraId="D7BC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BF8D9A42">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6</w:t>
            </w:r>
          </w:p>
        </w:tc>
        <w:tc>
          <w:tcPr>
            <w:tcW w:w="7513" w:type="dxa"/>
            <w:tcBorders>
              <w:tl2br w:val="nil"/>
              <w:tr2bl w:val="nil"/>
            </w:tcBorders>
            <w:shd w:val="clear" w:color="auto" w:fill="auto"/>
            <w:vAlign w:val="center"/>
          </w:tcPr>
          <w:p w14:paraId="A3BCCF6C">
            <w:pPr>
              <w:widowControl w:val="0"/>
              <w:bidi w:val="0"/>
              <w:spacing w:line="360" w:lineRule="auto"/>
              <w:ind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数据看板</w:t>
            </w:r>
          </w:p>
        </w:tc>
      </w:tr>
      <w:tr w14:paraId="C136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629045D2">
            <w:pPr>
              <w:widowControl w:val="0"/>
              <w:bidi w:val="0"/>
              <w:ind w:firstLine="0" w:firstLineChars="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6.1</w:t>
            </w:r>
          </w:p>
        </w:tc>
        <w:tc>
          <w:tcPr>
            <w:tcW w:w="7513" w:type="dxa"/>
            <w:tcBorders>
              <w:tl2br w:val="nil"/>
              <w:tr2bl w:val="nil"/>
            </w:tcBorders>
            <w:shd w:val="clear" w:color="auto" w:fill="auto"/>
            <w:vAlign w:val="center"/>
          </w:tcPr>
          <w:p w14:paraId="28F4BE5B">
            <w:pPr>
              <w:widowControl w:val="0"/>
              <w:bidi w:val="0"/>
              <w:spacing w:line="360" w:lineRule="auto"/>
              <w:ind w:firstLine="0" w:firstLineChars="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提供可视化数据看板功能，支持按时间范围、服务渠道多维度筛选，展示访客数、会话数、交互数、满意率等指标</w:t>
            </w:r>
          </w:p>
        </w:tc>
      </w:tr>
      <w:tr w14:paraId="48F3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3FA512F5">
            <w:pPr>
              <w:widowControl w:val="0"/>
              <w:bidi w:val="0"/>
              <w:ind w:firstLine="0" w:firstLineChars="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6.2</w:t>
            </w:r>
          </w:p>
        </w:tc>
        <w:tc>
          <w:tcPr>
            <w:tcW w:w="7513" w:type="dxa"/>
            <w:tcBorders>
              <w:tl2br w:val="nil"/>
              <w:tr2bl w:val="nil"/>
            </w:tcBorders>
            <w:shd w:val="clear" w:color="auto" w:fill="auto"/>
            <w:vAlign w:val="center"/>
          </w:tcPr>
          <w:p w14:paraId="FB7E663E">
            <w:pPr>
              <w:widowControl w:val="0"/>
              <w:bidi w:val="0"/>
              <w:spacing w:line="360" w:lineRule="auto"/>
              <w:ind w:firstLine="0" w:firstLineChars="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提供交互日志全流程记录与查询功能，日志字段涵盖：时间、用户提问内容、系统回复内容、知识匹配置信度、关联知识审核人及其所属科室、用户满意度评价、系统响应时长等。支持按时间、渠道等维度组合查询，支持数据导出。</w:t>
            </w:r>
          </w:p>
        </w:tc>
      </w:tr>
      <w:tr w14:paraId="69CE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7A282B5C">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6.3</w:t>
            </w:r>
          </w:p>
        </w:tc>
        <w:tc>
          <w:tcPr>
            <w:tcW w:w="7513" w:type="dxa"/>
            <w:tcBorders>
              <w:tl2br w:val="nil"/>
              <w:tr2bl w:val="nil"/>
            </w:tcBorders>
            <w:shd w:val="clear" w:color="auto" w:fill="auto"/>
            <w:vAlign w:val="center"/>
          </w:tcPr>
          <w:p w14:paraId="25E14D5E">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基于时间、服务渠道、参保类型、参保单位、参保区划、诉求类型等维度，分析智能客服中各类业务的咨询量分布情况，生成Top10热点业务榜单。业务分类支持逐级下钻，深入查看子类别的详细咨询数据。</w:t>
            </w:r>
          </w:p>
        </w:tc>
      </w:tr>
      <w:tr w14:paraId="E750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60256BA7">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6.4</w:t>
            </w:r>
          </w:p>
        </w:tc>
        <w:tc>
          <w:tcPr>
            <w:tcW w:w="7513" w:type="dxa"/>
            <w:tcBorders>
              <w:tl2br w:val="nil"/>
              <w:tr2bl w:val="nil"/>
            </w:tcBorders>
            <w:shd w:val="clear" w:color="auto" w:fill="auto"/>
            <w:vAlign w:val="center"/>
          </w:tcPr>
          <w:p w14:paraId="A2A13473">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持按时间、渠道、参保类型、参保单位等维度，对用户诉求类型（如咨询、查询、办理）与业务科室职能（如个人业务科、机构结算科等）进行多维度关联分析，通过图表与报表形式展现咨询分布特征及科室服务情况。</w:t>
            </w:r>
          </w:p>
        </w:tc>
      </w:tr>
      <w:tr w14:paraId="5B13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40FDC087">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7</w:t>
            </w:r>
          </w:p>
        </w:tc>
        <w:tc>
          <w:tcPr>
            <w:tcW w:w="7513" w:type="dxa"/>
            <w:tcBorders>
              <w:tl2br w:val="nil"/>
              <w:tr2bl w:val="nil"/>
            </w:tcBorders>
            <w:shd w:val="clear" w:color="auto" w:fill="auto"/>
            <w:vAlign w:val="center"/>
          </w:tcPr>
          <w:p w14:paraId="8655B3A4">
            <w:pPr>
              <w:widowControl w:val="0"/>
              <w:bidi w:val="0"/>
              <w:spacing w:line="360" w:lineRule="auto"/>
              <w:ind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知识库管理</w:t>
            </w:r>
          </w:p>
        </w:tc>
      </w:tr>
      <w:tr w14:paraId="5729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FB2A6D59">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7.1</w:t>
            </w:r>
          </w:p>
        </w:tc>
        <w:tc>
          <w:tcPr>
            <w:tcW w:w="7513" w:type="dxa"/>
            <w:tcBorders>
              <w:tl2br w:val="nil"/>
              <w:tr2bl w:val="nil"/>
            </w:tcBorders>
            <w:shd w:val="clear" w:color="auto" w:fill="auto"/>
            <w:vAlign w:val="center"/>
          </w:tcPr>
          <w:p w14:paraId="E59B4BE7">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支持PDF、Word、Excel等常见格式文件批量上传、删除等操作，并且对文件素材支持多层级分类管理。支持文件状态管理：包含待上线-待审核-已发布</w:t>
            </w:r>
          </w:p>
        </w:tc>
      </w:tr>
      <w:tr w14:paraId="E0E4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AEEB2FB4">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7.2</w:t>
            </w:r>
          </w:p>
        </w:tc>
        <w:tc>
          <w:tcPr>
            <w:tcW w:w="7513" w:type="dxa"/>
            <w:tcBorders>
              <w:tl2br w:val="nil"/>
              <w:tr2bl w:val="nil"/>
            </w:tcBorders>
            <w:shd w:val="clear" w:color="auto" w:fill="auto"/>
            <w:vAlign w:val="center"/>
          </w:tcPr>
          <w:p w14:paraId="38D709C9">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支持系统所需的素材文件进行集中化管理。功能包括素材的新增、审核与发布、删除。</w:t>
            </w:r>
          </w:p>
        </w:tc>
      </w:tr>
      <w:tr w14:paraId="71A3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E7DD0446">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7.3</w:t>
            </w:r>
          </w:p>
        </w:tc>
        <w:tc>
          <w:tcPr>
            <w:tcW w:w="7513" w:type="dxa"/>
            <w:tcBorders>
              <w:tl2br w:val="nil"/>
              <w:tr2bl w:val="nil"/>
            </w:tcBorders>
            <w:shd w:val="clear" w:color="auto" w:fill="auto"/>
            <w:vAlign w:val="center"/>
          </w:tcPr>
          <w:p w14:paraId="5A916E1B">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支持结构化QA知识条目的导入、审核与发布、查阅、编辑和删除操作，确保知识内容的准确性与一致性。</w:t>
            </w:r>
          </w:p>
        </w:tc>
      </w:tr>
      <w:tr w14:paraId="FC45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0D0AC3D7">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7.4</w:t>
            </w:r>
          </w:p>
        </w:tc>
        <w:tc>
          <w:tcPr>
            <w:tcW w:w="7513" w:type="dxa"/>
            <w:tcBorders>
              <w:tl2br w:val="nil"/>
              <w:tr2bl w:val="nil"/>
            </w:tcBorders>
            <w:shd w:val="clear" w:color="auto" w:fill="auto"/>
            <w:vAlign w:val="center"/>
          </w:tcPr>
          <w:p w14:paraId="26157CC9">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支持记录QA问答详细知识点的新增、删除、修改等操作。包含操作时间、动作、操作信息、操作人员等内容，点击查看详情，可查看该知识点的历史变更记录。</w:t>
            </w:r>
          </w:p>
        </w:tc>
      </w:tr>
      <w:tr w14:paraId="7764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79054965">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7.5</w:t>
            </w:r>
          </w:p>
        </w:tc>
        <w:tc>
          <w:tcPr>
            <w:tcW w:w="7513" w:type="dxa"/>
            <w:tcBorders>
              <w:tl2br w:val="nil"/>
              <w:tr2bl w:val="nil"/>
            </w:tcBorders>
            <w:shd w:val="clear" w:color="auto" w:fill="auto"/>
            <w:vAlign w:val="center"/>
          </w:tcPr>
          <w:p w14:paraId="5C46D130">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通过对话交互区，查看系统对输入语句的测试结果，包括回复内容、召回切片内容、切片的置信度，直观判断知识准确性。</w:t>
            </w:r>
          </w:p>
        </w:tc>
      </w:tr>
      <w:tr w14:paraId="37A0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D2E6CD27">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8</w:t>
            </w:r>
          </w:p>
        </w:tc>
        <w:tc>
          <w:tcPr>
            <w:tcW w:w="7513" w:type="dxa"/>
            <w:tcBorders>
              <w:tl2br w:val="nil"/>
              <w:tr2bl w:val="nil"/>
            </w:tcBorders>
            <w:shd w:val="clear" w:color="auto" w:fill="auto"/>
            <w:vAlign w:val="center"/>
          </w:tcPr>
          <w:p w14:paraId="BBB32543">
            <w:pPr>
              <w:widowControl w:val="0"/>
              <w:bidi w:val="0"/>
              <w:spacing w:line="360" w:lineRule="auto"/>
              <w:ind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模型训练</w:t>
            </w:r>
          </w:p>
        </w:tc>
      </w:tr>
      <w:tr w14:paraId="03DF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3631A1F8">
            <w:pPr>
              <w:widowControl w:val="0"/>
              <w:bidi w:val="0"/>
              <w:ind w:firstLine="0" w:firstLineChars="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8.1</w:t>
            </w:r>
          </w:p>
        </w:tc>
        <w:tc>
          <w:tcPr>
            <w:tcW w:w="7513" w:type="dxa"/>
            <w:tcBorders>
              <w:tl2br w:val="nil"/>
              <w:tr2bl w:val="nil"/>
            </w:tcBorders>
            <w:shd w:val="clear" w:color="auto" w:fill="auto"/>
            <w:vAlign w:val="center"/>
          </w:tcPr>
          <w:p w14:paraId="E939D0D2">
            <w:pPr>
              <w:widowControl w:val="0"/>
              <w:bidi w:val="0"/>
              <w:spacing w:line="360" w:lineRule="auto"/>
              <w:ind w:firstLine="0" w:firstLineChars="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创建任务，自定义填写任务名称、选择数据回流周期，以及回流的类型（点踩、拒识、自定义置信度），填写后提交即可生成回流任务列表。点击任务列表即可查看详细回流数据，包含会话时间、用户问题与系统回复等信息，点击查看预览用户与系统的会话交互详情。</w:t>
            </w:r>
          </w:p>
        </w:tc>
      </w:tr>
      <w:tr w14:paraId="1DF0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C4E518DE">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8.2</w:t>
            </w:r>
          </w:p>
        </w:tc>
        <w:tc>
          <w:tcPr>
            <w:tcW w:w="7513" w:type="dxa"/>
            <w:tcBorders>
              <w:tl2br w:val="nil"/>
              <w:tr2bl w:val="nil"/>
            </w:tcBorders>
            <w:shd w:val="clear" w:color="auto" w:fill="auto"/>
            <w:vAlign w:val="center"/>
          </w:tcPr>
          <w:p w14:paraId="581AD898">
            <w:pPr>
              <w:widowControl w:val="0"/>
              <w:bidi w:val="0"/>
              <w:spacing w:line="360" w:lineRule="auto"/>
              <w:ind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在该模块选择已创建的回流任务列表，点击标注即可修改列表信息内容（如用户问题、系统回复），标注后的状态为待上线，可批量选择提交至系统管理员审核（状态为待审核），审核通过提交至系统管理员进行知识上线更新。点击查看支持预览用户与系统的会话交互详情。</w:t>
            </w:r>
          </w:p>
        </w:tc>
      </w:tr>
      <w:tr w14:paraId="42AC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34A01C76">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9</w:t>
            </w:r>
          </w:p>
        </w:tc>
        <w:tc>
          <w:tcPr>
            <w:tcW w:w="7513" w:type="dxa"/>
            <w:tcBorders>
              <w:tl2br w:val="nil"/>
              <w:tr2bl w:val="nil"/>
            </w:tcBorders>
            <w:shd w:val="clear" w:color="auto" w:fill="auto"/>
            <w:vAlign w:val="center"/>
          </w:tcPr>
          <w:p w14:paraId="9E625125">
            <w:pPr>
              <w:widowControl w:val="0"/>
              <w:bidi w:val="0"/>
              <w:spacing w:line="360" w:lineRule="auto"/>
              <w:ind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系统设置</w:t>
            </w:r>
          </w:p>
        </w:tc>
      </w:tr>
      <w:tr w14:paraId="65E9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0E7E418C">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9.1</w:t>
            </w:r>
          </w:p>
        </w:tc>
        <w:tc>
          <w:tcPr>
            <w:tcW w:w="7513" w:type="dxa"/>
            <w:tcBorders>
              <w:tl2br w:val="nil"/>
              <w:tr2bl w:val="nil"/>
            </w:tcBorders>
            <w:shd w:val="clear" w:color="auto" w:fill="auto"/>
            <w:vAlign w:val="center"/>
          </w:tcPr>
          <w:p w14:paraId="55C1A374">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提供全面的智能客服个性化设置功能：</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1.网站名称：自定义智能客服平台的名称。</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2.聊天框提示语：设置用户进入聊天界面时的欢迎词及提示信息。</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3.招呼语：配置系统主动问候用户的文本内容。</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4.拒识语：设定当系统无法识别或回答用户问题时的标准回复。</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5.大家都在问：展示热门问题列表，引导用户快速获取常见问题答案。</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6.转人工提示语：设置用户请求人工客服的提示信息。</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7.超时时间及提示语：自定义用户长时间无操作后的断开时间和提示内容。</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8.常见业务：维护常见知识，便于坐席快速查看知识信息。</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9.公示公告：支持配置政策公告信息、包含公告名称、公告链接等信息。完成配置后可用于用户端显示。</w:t>
            </w:r>
          </w:p>
        </w:tc>
      </w:tr>
      <w:tr w14:paraId="154F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704DE9B2">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9.2</w:t>
            </w:r>
          </w:p>
        </w:tc>
        <w:tc>
          <w:tcPr>
            <w:tcW w:w="7513" w:type="dxa"/>
            <w:tcBorders>
              <w:tl2br w:val="nil"/>
              <w:tr2bl w:val="nil"/>
            </w:tcBorders>
            <w:shd w:val="clear" w:color="auto" w:fill="auto"/>
            <w:vAlign w:val="center"/>
          </w:tcPr>
          <w:p w14:paraId="8F1B49B2">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支持对智能客服系统的全局参数进行灵活配置：</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1.上线应用渠道：管理智能客服在各个渠道的启用状态。</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2.功能配置：词义联想、上下文记忆、置信度的启用/停用设置、敏感词过滤等功能，提升交互体验与安全性。</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3.不满意原因配置：管理用户反馈中常见的不满意原因类型，持续优化服务质量。</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4.系统公告：发布系统维护、升级等相关通知，确保坐席及时了解系统动态。</w:t>
            </w:r>
          </w:p>
        </w:tc>
      </w:tr>
      <w:tr w14:paraId="10F2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E6577B87">
            <w:pPr>
              <w:widowControl w:val="0"/>
              <w:bidi w:val="0"/>
              <w:ind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10</w:t>
            </w:r>
          </w:p>
        </w:tc>
        <w:tc>
          <w:tcPr>
            <w:tcW w:w="7513" w:type="dxa"/>
            <w:tcBorders>
              <w:tl2br w:val="nil"/>
              <w:tr2bl w:val="nil"/>
            </w:tcBorders>
            <w:shd w:val="clear" w:color="auto" w:fill="auto"/>
            <w:vAlign w:val="center"/>
          </w:tcPr>
          <w:p w14:paraId="231D997E">
            <w:pPr>
              <w:widowControl w:val="0"/>
              <w:bidi w:val="0"/>
              <w:spacing w:line="360" w:lineRule="auto"/>
              <w:ind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用户管理</w:t>
            </w:r>
          </w:p>
        </w:tc>
      </w:tr>
      <w:tr w14:paraId="700A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FFDFD8C6">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10.1</w:t>
            </w:r>
          </w:p>
        </w:tc>
        <w:tc>
          <w:tcPr>
            <w:tcW w:w="7513" w:type="dxa"/>
            <w:tcBorders>
              <w:tl2br w:val="nil"/>
              <w:tr2bl w:val="nil"/>
            </w:tcBorders>
            <w:shd w:val="clear" w:color="auto" w:fill="auto"/>
            <w:vAlign w:val="center"/>
          </w:tcPr>
          <w:p w14:paraId="DACDF0F6">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支持对科室进行增、删、改操作。</w:t>
            </w:r>
          </w:p>
        </w:tc>
      </w:tr>
      <w:tr w14:paraId="69C7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AB3A5510">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10.2</w:t>
            </w:r>
          </w:p>
        </w:tc>
        <w:tc>
          <w:tcPr>
            <w:tcW w:w="7513" w:type="dxa"/>
            <w:tcBorders>
              <w:tl2br w:val="nil"/>
              <w:tr2bl w:val="nil"/>
            </w:tcBorders>
            <w:shd w:val="clear" w:color="auto" w:fill="auto"/>
            <w:vAlign w:val="center"/>
          </w:tcPr>
          <w:p w14:paraId="763286F7">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提供系统用户管理功能，支持按姓名、工号、所属科室等条件查询用户信息，可新增、编辑、删除或重置密码操作。</w:t>
            </w:r>
          </w:p>
        </w:tc>
      </w:tr>
      <w:tr w14:paraId="E88E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l2br w:val="nil"/>
              <w:tr2bl w:val="nil"/>
            </w:tcBorders>
            <w:shd w:val="clear" w:color="auto" w:fill="auto"/>
            <w:vAlign w:val="center"/>
          </w:tcPr>
          <w:p w14:paraId="F045A96B">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10.3</w:t>
            </w:r>
          </w:p>
        </w:tc>
        <w:tc>
          <w:tcPr>
            <w:tcW w:w="7513" w:type="dxa"/>
            <w:tcBorders>
              <w:tl2br w:val="nil"/>
              <w:tr2bl w:val="nil"/>
            </w:tcBorders>
            <w:shd w:val="clear" w:color="auto" w:fill="auto"/>
            <w:vAlign w:val="center"/>
          </w:tcPr>
          <w:p w14:paraId="2EB03AB9">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可自定义角色（如管理员、审核员、业务人员、坐席等），并为角色分配菜单权限，实现基于角色的精细化权限控制。</w:t>
            </w:r>
          </w:p>
        </w:tc>
      </w:tr>
      <w:tr w14:paraId="0B6E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688" w:type="dxa"/>
            <w:gridSpan w:val="2"/>
            <w:tcBorders>
              <w:tl2br w:val="nil"/>
              <w:tr2bl w:val="nil"/>
            </w:tcBorders>
            <w:shd w:val="clear" w:color="auto" w:fill="auto"/>
            <w:vAlign w:val="center"/>
          </w:tcPr>
          <w:p w14:paraId="7245650E">
            <w:pPr>
              <w:widowControl w:val="0"/>
              <w:bidi w:val="0"/>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二、集成服务</w:t>
            </w:r>
          </w:p>
        </w:tc>
      </w:tr>
      <w:tr w14:paraId="0A77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75" w:type="dxa"/>
            <w:tcBorders>
              <w:tl2br w:val="nil"/>
              <w:tr2bl w:val="nil"/>
            </w:tcBorders>
            <w:shd w:val="clear" w:color="auto" w:fill="auto"/>
            <w:vAlign w:val="center"/>
          </w:tcPr>
          <w:p w14:paraId="2B155537">
            <w:pPr>
              <w:widowControl w:val="0"/>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集成服务</w:t>
            </w:r>
          </w:p>
        </w:tc>
        <w:tc>
          <w:tcPr>
            <w:tcW w:w="7513" w:type="dxa"/>
            <w:tcBorders>
              <w:tl2br w:val="nil"/>
              <w:tr2bl w:val="nil"/>
            </w:tcBorders>
            <w:shd w:val="clear" w:color="auto" w:fill="auto"/>
            <w:vAlign w:val="center"/>
          </w:tcPr>
          <w:p w14:paraId="14AAE383">
            <w:pPr>
              <w:widowControl w:val="0"/>
              <w:bidi w:val="0"/>
              <w:spacing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服务内容包括但不限于：配合知识库收集、模型训练、项目实施、培训、技术支持服务等。</w:t>
            </w:r>
          </w:p>
        </w:tc>
      </w:tr>
    </w:tbl>
    <w:p w14:paraId="1258458D">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注：以上技术要求投标供应商可提供相关证明截图或承诺函。</w:t>
      </w:r>
    </w:p>
    <w:p w14:paraId="125F936D">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仿宋" w:hAnsi="仿宋" w:eastAsia="仿宋" w:cs="仿宋"/>
          <w:b/>
          <w:bCs/>
          <w:i w:val="0"/>
          <w:caps w:val="0"/>
          <w:color w:val="auto"/>
          <w:spacing w:val="0"/>
          <w:sz w:val="28"/>
          <w:szCs w:val="28"/>
          <w:highlight w:val="none"/>
          <w:shd w:val="clear" w:color="auto" w:fill="FFFFFF"/>
          <w:lang w:val="en-US" w:eastAsia="zh-CN"/>
        </w:rPr>
      </w:pPr>
    </w:p>
    <w:p w14:paraId="30A79583">
      <w:pPr>
        <w:pStyle w:val="4"/>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643" w:firstLineChars="200"/>
        <w:jc w:val="center"/>
        <w:textAlignment w:val="baseline"/>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评分标准</w:t>
      </w:r>
      <w:bookmarkEnd w:id="67"/>
      <w:bookmarkEnd w:id="68"/>
      <w:bookmarkEnd w:id="69"/>
    </w:p>
    <w:p w14:paraId="44E21C72">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1、本次发包采用百分制评分法，价格分统一采用低价优先法，即满足发包文件要求且报价最低的价格作为评标基准价，其价格分为满分</w:t>
      </w:r>
      <w:r>
        <w:rPr>
          <w:rFonts w:hint="eastAsia" w:ascii="仿宋" w:hAnsi="仿宋" w:eastAsia="仿宋" w:cs="仿宋"/>
          <w:b w:val="0"/>
          <w:bCs/>
          <w:color w:val="auto"/>
          <w:kern w:val="2"/>
          <w:sz w:val="28"/>
          <w:szCs w:val="28"/>
          <w:highlight w:val="none"/>
          <w:u w:val="single"/>
          <w:lang w:val="en-US" w:eastAsia="zh-CN" w:bidi="ar-SA"/>
        </w:rPr>
        <w:t>20</w:t>
      </w:r>
      <w:r>
        <w:rPr>
          <w:rFonts w:hint="eastAsia" w:ascii="仿宋" w:hAnsi="仿宋" w:eastAsia="仿宋" w:cs="仿宋"/>
          <w:b w:val="0"/>
          <w:bCs/>
          <w:color w:val="auto"/>
          <w:kern w:val="2"/>
          <w:sz w:val="28"/>
          <w:szCs w:val="28"/>
          <w:highlight w:val="none"/>
          <w:lang w:val="en-US" w:eastAsia="zh-CN" w:bidi="ar-SA"/>
        </w:rPr>
        <w:t>分。其他供应商的价格分统一按照下列公式计算（四舍五入保留至小数点后两位数）：</w:t>
      </w:r>
    </w:p>
    <w:p w14:paraId="4798614A">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报价得分＝（评标基准价/响应报价）×</w:t>
      </w:r>
      <w:r>
        <w:rPr>
          <w:rFonts w:hint="eastAsia" w:ascii="仿宋" w:hAnsi="仿宋" w:eastAsia="仿宋" w:cs="仿宋"/>
          <w:b w:val="0"/>
          <w:bCs/>
          <w:color w:val="auto"/>
          <w:kern w:val="2"/>
          <w:sz w:val="28"/>
          <w:szCs w:val="28"/>
          <w:highlight w:val="none"/>
          <w:u w:val="single"/>
          <w:lang w:val="en-US" w:eastAsia="zh-CN" w:bidi="ar-SA"/>
        </w:rPr>
        <w:t>20</w:t>
      </w:r>
      <w:r>
        <w:rPr>
          <w:rFonts w:hint="eastAsia" w:ascii="仿宋" w:hAnsi="仿宋" w:eastAsia="仿宋" w:cs="仿宋"/>
          <w:b w:val="0"/>
          <w:bCs/>
          <w:color w:val="auto"/>
          <w:kern w:val="2"/>
          <w:sz w:val="28"/>
          <w:szCs w:val="28"/>
          <w:highlight w:val="none"/>
          <w:lang w:val="en-US" w:eastAsia="zh-CN" w:bidi="ar-SA"/>
        </w:rPr>
        <w:t>％×100</w:t>
      </w:r>
      <w:bookmarkStart w:id="165" w:name="_GoBack"/>
      <w:bookmarkEnd w:id="165"/>
    </w:p>
    <w:p w14:paraId="4CDF13E5">
      <w:pPr>
        <w:pStyle w:val="12"/>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具体评分细则如下：</w:t>
      </w:r>
    </w:p>
    <w:tbl>
      <w:tblPr>
        <w:tblStyle w:val="33"/>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1" w:type="dxa"/>
          <w:bottom w:w="28" w:type="dxa"/>
          <w:right w:w="51" w:type="dxa"/>
        </w:tblCellMar>
      </w:tblPr>
      <w:tblGrid>
        <w:gridCol w:w="999"/>
        <w:gridCol w:w="1074"/>
        <w:gridCol w:w="6369"/>
        <w:gridCol w:w="996"/>
      </w:tblGrid>
      <w:tr w14:paraId="21D1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14:paraId="73E488C4">
            <w:pPr>
              <w:widowControl w:val="0"/>
              <w:wordWrap/>
              <w:spacing w:line="40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类别</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21B7A8A">
            <w:pPr>
              <w:widowControl w:val="0"/>
              <w:wordWrap/>
              <w:spacing w:line="40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6369" w:type="dxa"/>
            <w:tcBorders>
              <w:top w:val="single" w:color="auto" w:sz="4" w:space="0"/>
              <w:left w:val="single" w:color="auto" w:sz="4" w:space="0"/>
              <w:bottom w:val="single" w:color="auto" w:sz="4" w:space="0"/>
              <w:right w:val="single" w:color="auto" w:sz="4" w:space="0"/>
            </w:tcBorders>
            <w:noWrap w:val="0"/>
            <w:vAlign w:val="center"/>
          </w:tcPr>
          <w:p w14:paraId="2EF3DB31">
            <w:pPr>
              <w:widowControl w:val="0"/>
              <w:wordWrap/>
              <w:spacing w:line="40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5DC53AC">
            <w:pPr>
              <w:widowControl w:val="0"/>
              <w:wordWrap/>
              <w:spacing w:line="40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分值范围</w:t>
            </w:r>
          </w:p>
        </w:tc>
      </w:tr>
      <w:tr w14:paraId="2F5F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90" w:hRule="atLeast"/>
          <w:jc w:val="center"/>
        </w:trPr>
        <w:tc>
          <w:tcPr>
            <w:tcW w:w="999" w:type="dxa"/>
            <w:vMerge w:val="restart"/>
            <w:tcBorders>
              <w:left w:val="single" w:color="auto" w:sz="4" w:space="0"/>
              <w:right w:val="single" w:color="auto" w:sz="4" w:space="0"/>
            </w:tcBorders>
            <w:noWrap w:val="0"/>
            <w:vAlign w:val="center"/>
          </w:tcPr>
          <w:p w14:paraId="2AABC26C">
            <w:pPr>
              <w:widowControl w:val="0"/>
              <w:wordWrap/>
              <w:spacing w:line="400" w:lineRule="exact"/>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技术标（</w:t>
            </w:r>
            <w:r>
              <w:rPr>
                <w:rFonts w:hint="eastAsia" w:ascii="仿宋" w:hAnsi="仿宋" w:eastAsia="仿宋" w:cs="仿宋"/>
                <w:color w:val="auto"/>
                <w:sz w:val="24"/>
                <w:szCs w:val="24"/>
                <w:highlight w:val="none"/>
                <w:lang w:val="en-US" w:eastAsia="zh-CN"/>
              </w:rPr>
              <w:t>80分</w:t>
            </w:r>
            <w:r>
              <w:rPr>
                <w:rFonts w:hint="eastAsia" w:ascii="仿宋" w:hAnsi="仿宋" w:eastAsia="仿宋" w:cs="仿宋"/>
                <w:color w:val="auto"/>
                <w:sz w:val="24"/>
                <w:szCs w:val="24"/>
                <w:highlight w:val="none"/>
                <w:lang w:eastAsia="zh-CN"/>
              </w:rPr>
              <w:t>）</w:t>
            </w:r>
          </w:p>
        </w:tc>
        <w:tc>
          <w:tcPr>
            <w:tcW w:w="1074" w:type="dxa"/>
            <w:tcBorders>
              <w:left w:val="single" w:color="auto" w:sz="4" w:space="0"/>
              <w:bottom w:val="single" w:color="auto" w:sz="4" w:space="0"/>
              <w:right w:val="single" w:color="auto" w:sz="4" w:space="0"/>
            </w:tcBorders>
            <w:noWrap w:val="0"/>
            <w:vAlign w:val="center"/>
          </w:tcPr>
          <w:p w14:paraId="6CCA8094">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体系认证</w:t>
            </w:r>
          </w:p>
        </w:tc>
        <w:tc>
          <w:tcPr>
            <w:tcW w:w="6369" w:type="dxa"/>
            <w:tcBorders>
              <w:top w:val="single" w:color="auto" w:sz="4" w:space="0"/>
              <w:left w:val="single" w:color="auto" w:sz="4" w:space="0"/>
              <w:bottom w:val="single" w:color="auto" w:sz="4" w:space="0"/>
              <w:right w:val="single" w:color="auto" w:sz="4" w:space="0"/>
            </w:tcBorders>
            <w:noWrap w:val="0"/>
            <w:vAlign w:val="center"/>
          </w:tcPr>
          <w:p w14:paraId="21DEF46E">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供应商具有经中国国家认证认可监督管理委员会认证机构颁发的在有效期内的下列证书：</w:t>
            </w:r>
          </w:p>
          <w:p w14:paraId="00DDC531">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1.质量管理体系认证证书；</w:t>
            </w:r>
          </w:p>
          <w:p w14:paraId="58BCF7FF">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2.职业健康安全管理体系认证证书；</w:t>
            </w:r>
          </w:p>
          <w:p w14:paraId="007CD722">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3.环境管理体系认证证书。</w:t>
            </w:r>
          </w:p>
          <w:p w14:paraId="32078461">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每提供一项得3分，本项最高</w:t>
            </w:r>
            <w:r>
              <w:rPr>
                <w:rFonts w:hint="eastAsia" w:ascii="仿宋" w:hAnsi="仿宋" w:eastAsia="仿宋" w:cs="仿宋"/>
                <w:i w:val="0"/>
                <w:iCs w:val="0"/>
                <w:color w:val="auto"/>
                <w:kern w:val="0"/>
                <w:sz w:val="24"/>
                <w:szCs w:val="24"/>
                <w:u w:val="none"/>
                <w:lang w:val="en-US" w:eastAsia="zh-CN" w:bidi="ar"/>
              </w:rPr>
              <w:t>得</w:t>
            </w:r>
            <w:r>
              <w:rPr>
                <w:rFonts w:hint="eastAsia" w:ascii="仿宋" w:hAnsi="仿宋" w:eastAsia="仿宋" w:cs="仿宋"/>
                <w:bCs/>
                <w:color w:val="auto"/>
                <w:sz w:val="24"/>
                <w:szCs w:val="24"/>
                <w:highlight w:val="none"/>
                <w:lang w:val="en-US" w:eastAsia="zh-CN"/>
              </w:rPr>
              <w:t>9分。</w:t>
            </w:r>
          </w:p>
          <w:p w14:paraId="15F27588">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lang w:val="en-US" w:eastAsia="zh-CN"/>
              </w:rPr>
              <w:t>注：投标文件中提供证书原件扫描件或影印件。</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EF098EA">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9</w:t>
            </w:r>
          </w:p>
        </w:tc>
      </w:tr>
      <w:tr w14:paraId="0C25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597" w:hRule="atLeast"/>
          <w:jc w:val="center"/>
        </w:trPr>
        <w:tc>
          <w:tcPr>
            <w:tcW w:w="999" w:type="dxa"/>
            <w:vMerge w:val="continue"/>
            <w:tcBorders>
              <w:left w:val="single" w:color="auto" w:sz="4" w:space="0"/>
              <w:right w:val="single" w:color="auto" w:sz="4" w:space="0"/>
            </w:tcBorders>
            <w:noWrap w:val="0"/>
            <w:vAlign w:val="center"/>
          </w:tcPr>
          <w:p w14:paraId="7DE0E30B">
            <w:pPr>
              <w:widowControl w:val="0"/>
              <w:wordWrap/>
              <w:spacing w:line="400" w:lineRule="exact"/>
              <w:ind w:firstLine="0" w:firstLineChars="0"/>
              <w:jc w:val="center"/>
              <w:rPr>
                <w:rFonts w:hint="eastAsia" w:ascii="仿宋" w:hAnsi="仿宋" w:eastAsia="仿宋" w:cs="仿宋"/>
                <w:color w:val="auto"/>
                <w:sz w:val="24"/>
                <w:szCs w:val="24"/>
                <w:highlight w:val="none"/>
              </w:rPr>
            </w:pPr>
          </w:p>
        </w:tc>
        <w:tc>
          <w:tcPr>
            <w:tcW w:w="1074" w:type="dxa"/>
            <w:tcBorders>
              <w:left w:val="single" w:color="auto" w:sz="4" w:space="0"/>
              <w:right w:val="single" w:color="auto" w:sz="4" w:space="0"/>
            </w:tcBorders>
            <w:noWrap w:val="0"/>
            <w:vAlign w:val="center"/>
          </w:tcPr>
          <w:p w14:paraId="6A1EC6A7">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项目团队</w:t>
            </w:r>
          </w:p>
        </w:tc>
        <w:tc>
          <w:tcPr>
            <w:tcW w:w="6369" w:type="dxa"/>
            <w:tcBorders>
              <w:top w:val="single" w:color="auto" w:sz="4" w:space="0"/>
              <w:left w:val="single" w:color="auto" w:sz="4" w:space="0"/>
              <w:right w:val="single" w:color="auto" w:sz="4" w:space="0"/>
            </w:tcBorders>
            <w:noWrap w:val="0"/>
            <w:vAlign w:val="center"/>
          </w:tcPr>
          <w:p w14:paraId="54AD1225">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 w:val="0"/>
                <w:bCs w:val="0"/>
                <w:color w:val="auto"/>
                <w:sz w:val="24"/>
                <w:szCs w:val="24"/>
                <w:highlight w:val="none"/>
              </w:rPr>
              <w:t>供应商</w:t>
            </w:r>
            <w:r>
              <w:rPr>
                <w:rFonts w:hint="eastAsia" w:ascii="仿宋" w:hAnsi="仿宋" w:eastAsia="仿宋" w:cs="仿宋"/>
                <w:bCs/>
                <w:color w:val="auto"/>
                <w:sz w:val="24"/>
                <w:szCs w:val="24"/>
                <w:highlight w:val="none"/>
                <w:lang w:val="en-US" w:eastAsia="zh-CN"/>
              </w:rPr>
              <w:t>拟投入本项目团队成员具有中华人民共和国人力资源和社会保障部、工业和信息化部颁发的信息系统项目管理师或数据库系统工程师或软件设计师或网络工程师或信息安全工程师证书的，每提供一个得3分，本项最高</w:t>
            </w:r>
            <w:r>
              <w:rPr>
                <w:rFonts w:hint="eastAsia" w:ascii="仿宋" w:hAnsi="仿宋" w:eastAsia="仿宋" w:cs="仿宋"/>
                <w:i w:val="0"/>
                <w:iCs w:val="0"/>
                <w:color w:val="auto"/>
                <w:kern w:val="0"/>
                <w:sz w:val="24"/>
                <w:szCs w:val="24"/>
                <w:u w:val="none"/>
                <w:lang w:val="en-US" w:eastAsia="zh-CN" w:bidi="ar"/>
              </w:rPr>
              <w:t>得</w:t>
            </w:r>
            <w:r>
              <w:rPr>
                <w:rFonts w:hint="eastAsia" w:ascii="仿宋" w:hAnsi="仿宋" w:eastAsia="仿宋" w:cs="仿宋"/>
                <w:bCs/>
                <w:color w:val="auto"/>
                <w:sz w:val="24"/>
                <w:szCs w:val="24"/>
                <w:highlight w:val="none"/>
                <w:lang w:val="en-US" w:eastAsia="zh-CN"/>
              </w:rPr>
              <w:t>12分；</w:t>
            </w:r>
          </w:p>
          <w:p w14:paraId="3A3EA986">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rPr>
              <w:t>注：①提供证书</w:t>
            </w:r>
            <w:r>
              <w:rPr>
                <w:rFonts w:hint="eastAsia" w:ascii="仿宋" w:hAnsi="仿宋" w:eastAsia="仿宋" w:cs="仿宋"/>
                <w:b/>
                <w:bCs w:val="0"/>
                <w:color w:val="auto"/>
                <w:sz w:val="24"/>
                <w:szCs w:val="24"/>
                <w:highlight w:val="none"/>
                <w:lang w:eastAsia="zh-CN"/>
              </w:rPr>
              <w:t>原件</w:t>
            </w:r>
            <w:r>
              <w:rPr>
                <w:rFonts w:hint="eastAsia" w:ascii="仿宋" w:hAnsi="仿宋" w:eastAsia="仿宋" w:cs="仿宋"/>
                <w:b/>
                <w:bCs w:val="0"/>
                <w:color w:val="auto"/>
                <w:sz w:val="24"/>
                <w:szCs w:val="24"/>
                <w:highlight w:val="none"/>
              </w:rPr>
              <w:t>扫描件；②以上人员不可重复，同一人不重复计分。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7B4DD89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0-12</w:t>
            </w:r>
          </w:p>
        </w:tc>
      </w:tr>
      <w:tr w14:paraId="6177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597" w:hRule="atLeast"/>
          <w:jc w:val="center"/>
        </w:trPr>
        <w:tc>
          <w:tcPr>
            <w:tcW w:w="999" w:type="dxa"/>
            <w:vMerge w:val="continue"/>
            <w:tcBorders>
              <w:left w:val="single" w:color="auto" w:sz="4" w:space="0"/>
              <w:right w:val="single" w:color="auto" w:sz="4" w:space="0"/>
            </w:tcBorders>
            <w:noWrap w:val="0"/>
            <w:vAlign w:val="center"/>
          </w:tcPr>
          <w:p w14:paraId="55A22094">
            <w:pPr>
              <w:widowControl w:val="0"/>
              <w:wordWrap/>
              <w:spacing w:line="400" w:lineRule="exact"/>
              <w:ind w:firstLine="0" w:firstLineChars="0"/>
              <w:jc w:val="center"/>
              <w:rPr>
                <w:rFonts w:hint="eastAsia" w:ascii="仿宋" w:hAnsi="仿宋" w:eastAsia="仿宋" w:cs="仿宋"/>
                <w:color w:val="auto"/>
                <w:sz w:val="24"/>
                <w:szCs w:val="24"/>
                <w:highlight w:val="none"/>
              </w:rPr>
            </w:pPr>
          </w:p>
        </w:tc>
        <w:tc>
          <w:tcPr>
            <w:tcW w:w="1074" w:type="dxa"/>
            <w:tcBorders>
              <w:left w:val="single" w:color="auto" w:sz="4" w:space="0"/>
              <w:right w:val="single" w:color="auto" w:sz="4" w:space="0"/>
            </w:tcBorders>
            <w:noWrap w:val="0"/>
            <w:vAlign w:val="center"/>
          </w:tcPr>
          <w:p w14:paraId="5CE08EEB">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000000"/>
                <w:kern w:val="2"/>
                <w:sz w:val="24"/>
                <w:szCs w:val="24"/>
                <w:highlight w:val="none"/>
                <w:u w:val="none"/>
                <w:lang w:val="en-US" w:eastAsia="zh-CN" w:bidi="ar"/>
              </w:rPr>
              <w:t>履约服务能力</w:t>
            </w:r>
          </w:p>
        </w:tc>
        <w:tc>
          <w:tcPr>
            <w:tcW w:w="6369" w:type="dxa"/>
            <w:tcBorders>
              <w:top w:val="single" w:color="auto" w:sz="4" w:space="0"/>
              <w:left w:val="single" w:color="auto" w:sz="4" w:space="0"/>
              <w:right w:val="single" w:color="auto" w:sz="4" w:space="0"/>
            </w:tcBorders>
            <w:noWrap w:val="0"/>
            <w:vAlign w:val="center"/>
          </w:tcPr>
          <w:p w14:paraId="39DF2E24">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投标供应商具有人工智能领域的研发能力和专业知识，拥有相关资质证书或专利，提供与智能客服相关证书复印件（可印证查询），每提供一个得3分，本项最高得5分，不提供不得分。</w:t>
            </w:r>
          </w:p>
          <w:p w14:paraId="26D414B9">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w:t>
            </w:r>
            <w:r>
              <w:rPr>
                <w:rFonts w:hint="eastAsia" w:ascii="仿宋" w:hAnsi="仿宋" w:eastAsia="仿宋" w:cs="仿宋"/>
                <w:b/>
                <w:bCs w:val="0"/>
                <w:color w:val="auto"/>
                <w:sz w:val="24"/>
                <w:szCs w:val="24"/>
                <w:highlight w:val="none"/>
              </w:rPr>
              <w:t>提供证书</w:t>
            </w:r>
            <w:r>
              <w:rPr>
                <w:rFonts w:hint="eastAsia" w:ascii="仿宋" w:hAnsi="仿宋" w:eastAsia="仿宋" w:cs="仿宋"/>
                <w:b/>
                <w:bCs w:val="0"/>
                <w:color w:val="auto"/>
                <w:sz w:val="24"/>
                <w:szCs w:val="24"/>
                <w:highlight w:val="none"/>
                <w:lang w:eastAsia="zh-CN"/>
              </w:rPr>
              <w:t>原件</w:t>
            </w:r>
            <w:r>
              <w:rPr>
                <w:rFonts w:hint="eastAsia" w:ascii="仿宋" w:hAnsi="仿宋" w:eastAsia="仿宋" w:cs="仿宋"/>
                <w:b/>
                <w:bCs w:val="0"/>
                <w:color w:val="auto"/>
                <w:sz w:val="24"/>
                <w:szCs w:val="24"/>
                <w:highlight w:val="none"/>
              </w:rPr>
              <w:t>扫描件</w:t>
            </w:r>
            <w:r>
              <w:rPr>
                <w:rFonts w:hint="eastAsia" w:ascii="仿宋" w:hAnsi="仿宋" w:eastAsia="仿宋" w:cs="仿宋"/>
                <w:b/>
                <w:bCs w:val="0"/>
                <w:color w:val="auto"/>
                <w:sz w:val="24"/>
                <w:szCs w:val="24"/>
                <w:highlight w:val="none"/>
                <w:lang w:eastAsia="zh-CN"/>
              </w:rPr>
              <w:t>。</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97EBFE9">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0-15</w:t>
            </w:r>
          </w:p>
        </w:tc>
      </w:tr>
      <w:tr w14:paraId="339F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597" w:hRule="atLeast"/>
          <w:jc w:val="center"/>
        </w:trPr>
        <w:tc>
          <w:tcPr>
            <w:tcW w:w="999" w:type="dxa"/>
            <w:vMerge w:val="continue"/>
            <w:tcBorders>
              <w:left w:val="single" w:color="auto" w:sz="4" w:space="0"/>
              <w:right w:val="single" w:color="auto" w:sz="4" w:space="0"/>
            </w:tcBorders>
            <w:noWrap w:val="0"/>
            <w:vAlign w:val="center"/>
          </w:tcPr>
          <w:p w14:paraId="08DB6BBC">
            <w:pPr>
              <w:widowControl w:val="0"/>
              <w:wordWrap/>
              <w:spacing w:line="400" w:lineRule="exact"/>
              <w:ind w:firstLine="0" w:firstLineChars="0"/>
              <w:jc w:val="center"/>
              <w:rPr>
                <w:rFonts w:hint="eastAsia" w:ascii="仿宋" w:hAnsi="仿宋" w:eastAsia="仿宋" w:cs="仿宋"/>
                <w:color w:val="auto"/>
                <w:sz w:val="24"/>
                <w:szCs w:val="24"/>
                <w:highlight w:val="none"/>
              </w:rPr>
            </w:pPr>
          </w:p>
        </w:tc>
        <w:tc>
          <w:tcPr>
            <w:tcW w:w="1074" w:type="dxa"/>
            <w:tcBorders>
              <w:left w:val="single" w:color="auto" w:sz="4" w:space="0"/>
              <w:right w:val="single" w:color="auto" w:sz="4" w:space="0"/>
            </w:tcBorders>
            <w:noWrap w:val="0"/>
            <w:vAlign w:val="center"/>
          </w:tcPr>
          <w:p w14:paraId="250A91FB">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i w:val="0"/>
                <w:iCs w:val="0"/>
                <w:color w:val="000000"/>
                <w:kern w:val="2"/>
                <w:sz w:val="24"/>
                <w:szCs w:val="24"/>
                <w:highlight w:val="none"/>
                <w:u w:val="none"/>
                <w:lang w:val="en-US" w:eastAsia="zh-CN" w:bidi="ar"/>
              </w:rPr>
            </w:pPr>
            <w:r>
              <w:rPr>
                <w:rFonts w:hint="eastAsia" w:ascii="仿宋" w:hAnsi="仿宋" w:eastAsia="仿宋" w:cs="仿宋"/>
                <w:i w:val="0"/>
                <w:iCs w:val="0"/>
                <w:color w:val="000000"/>
                <w:kern w:val="2"/>
                <w:sz w:val="24"/>
                <w:szCs w:val="24"/>
                <w:highlight w:val="none"/>
                <w:u w:val="none"/>
                <w:lang w:val="en-US" w:eastAsia="zh-CN" w:bidi="ar"/>
              </w:rPr>
              <w:t>算力指标</w:t>
            </w:r>
          </w:p>
        </w:tc>
        <w:tc>
          <w:tcPr>
            <w:tcW w:w="6369" w:type="dxa"/>
            <w:tcBorders>
              <w:top w:val="single" w:color="auto" w:sz="4" w:space="0"/>
              <w:left w:val="single" w:color="auto" w:sz="4" w:space="0"/>
              <w:right w:val="single" w:color="auto" w:sz="4" w:space="0"/>
            </w:tcBorders>
            <w:noWrap w:val="0"/>
            <w:vAlign w:val="center"/>
          </w:tcPr>
          <w:p w14:paraId="7730C822">
            <w:pPr>
              <w:keepNext w:val="0"/>
              <w:keepLines w:val="0"/>
              <w:pageBreakBefore w:val="0"/>
              <w:widowControl/>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供应商提供本项目使用大模型参数指标，671B以上（含671B）得14分，70B以上含（70B）得9分，70B以下得4分。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D0E604A">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0-14</w:t>
            </w:r>
          </w:p>
        </w:tc>
      </w:tr>
      <w:tr w14:paraId="4E89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111" w:hRule="atLeast"/>
          <w:jc w:val="center"/>
        </w:trPr>
        <w:tc>
          <w:tcPr>
            <w:tcW w:w="999" w:type="dxa"/>
            <w:vMerge w:val="continue"/>
            <w:tcBorders>
              <w:left w:val="single" w:color="auto" w:sz="4" w:space="0"/>
              <w:right w:val="single" w:color="auto" w:sz="4" w:space="0"/>
            </w:tcBorders>
            <w:noWrap w:val="0"/>
            <w:vAlign w:val="center"/>
          </w:tcPr>
          <w:p w14:paraId="1292F32B">
            <w:pPr>
              <w:widowControl w:val="0"/>
              <w:wordWrap/>
              <w:spacing w:line="400" w:lineRule="exact"/>
              <w:ind w:firstLine="0" w:firstLineChars="0"/>
              <w:jc w:val="center"/>
              <w:rPr>
                <w:rFonts w:hint="eastAsia" w:ascii="仿宋" w:hAnsi="仿宋" w:eastAsia="仿宋" w:cs="仿宋"/>
                <w:color w:val="auto"/>
                <w:sz w:val="24"/>
                <w:szCs w:val="24"/>
                <w:highlight w:val="none"/>
              </w:rPr>
            </w:pPr>
          </w:p>
        </w:tc>
        <w:tc>
          <w:tcPr>
            <w:tcW w:w="1074" w:type="dxa"/>
            <w:tcBorders>
              <w:left w:val="single" w:color="auto" w:sz="4" w:space="0"/>
              <w:right w:val="single" w:color="auto" w:sz="4" w:space="0"/>
            </w:tcBorders>
            <w:shd w:val="clear" w:color="auto" w:fill="auto"/>
            <w:noWrap w:val="0"/>
            <w:vAlign w:val="center"/>
          </w:tcPr>
          <w:p w14:paraId="434ACA4E">
            <w:pPr>
              <w:widowControl w:val="0"/>
              <w:wordWrap/>
              <w:spacing w:line="360" w:lineRule="auto"/>
              <w:ind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总体技术方案</w:t>
            </w:r>
          </w:p>
        </w:tc>
        <w:tc>
          <w:tcPr>
            <w:tcW w:w="6369" w:type="dxa"/>
            <w:tcBorders>
              <w:top w:val="single" w:color="auto" w:sz="4" w:space="0"/>
              <w:left w:val="single" w:color="auto" w:sz="4" w:space="0"/>
              <w:right w:val="single" w:color="auto" w:sz="4" w:space="0"/>
            </w:tcBorders>
            <w:shd w:val="clear" w:color="auto" w:fill="auto"/>
            <w:noWrap w:val="0"/>
            <w:vAlign w:val="center"/>
          </w:tcPr>
          <w:p w14:paraId="096B48B5">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 w:val="0"/>
                <w:bCs/>
                <w:color w:val="auto"/>
                <w:sz w:val="24"/>
                <w:szCs w:val="24"/>
                <w:highlight w:val="none"/>
                <w:lang w:val="en-US" w:eastAsia="zh-CN"/>
              </w:rPr>
              <w:t>供应商针对本项目理解,根据项目实际需求，提供符合本项目的</w:t>
            </w:r>
            <w:r>
              <w:rPr>
                <w:rFonts w:hint="eastAsia" w:ascii="仿宋" w:hAnsi="仿宋" w:eastAsia="仿宋" w:cs="仿宋"/>
                <w:i w:val="0"/>
                <w:iCs w:val="0"/>
                <w:color w:val="auto"/>
                <w:kern w:val="0"/>
                <w:sz w:val="24"/>
                <w:szCs w:val="24"/>
                <w:u w:val="none"/>
                <w:lang w:val="en-US" w:eastAsia="zh-CN" w:bidi="ar"/>
              </w:rPr>
              <w:t>总体技术方案</w:t>
            </w:r>
            <w:r>
              <w:rPr>
                <w:rFonts w:hint="eastAsia" w:ascii="仿宋" w:hAnsi="仿宋" w:eastAsia="仿宋" w:cs="仿宋"/>
                <w:b w:val="0"/>
                <w:bCs/>
                <w:color w:val="auto"/>
                <w:sz w:val="24"/>
                <w:szCs w:val="24"/>
                <w:highlight w:val="none"/>
                <w:lang w:val="en-US" w:eastAsia="zh-CN"/>
              </w:rPr>
              <w:t>，内容包括：</w:t>
            </w:r>
          </w:p>
          <w:p w14:paraId="2BE1E843">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1.总体架构；</w:t>
            </w:r>
          </w:p>
          <w:p w14:paraId="6A27A1B1">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2.技术路线；</w:t>
            </w:r>
          </w:p>
          <w:p w14:paraId="03AD43C2">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3.数据分析；</w:t>
            </w:r>
          </w:p>
          <w:p w14:paraId="4B71643E">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4.知识库训练；</w:t>
            </w:r>
          </w:p>
          <w:p w14:paraId="43FE50BF">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5.法律风险防控；</w:t>
            </w:r>
          </w:p>
          <w:p w14:paraId="6465B7A3">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6.数据安全方案。</w:t>
            </w:r>
          </w:p>
          <w:p w14:paraId="6D78B441">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磋商小组根据供应商提供的方案，进行综合评审：</w:t>
            </w:r>
          </w:p>
          <w:p w14:paraId="701236A3">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（1）对本项目特点和难点理解准确，方案优于本项目采购需求，完整详细，可行性、实用性、针对性强，得10分；</w:t>
            </w:r>
          </w:p>
          <w:p w14:paraId="2DB9F707">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（2）对本项目特点和难点理解基本准确，方案适合本项目采购需求，完整详细，具有可行性、实用性和针对性，得7分；</w:t>
            </w:r>
          </w:p>
          <w:p w14:paraId="7B0783EE">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（3）对本项目特点和难点理解有待提升，方案基本适合本项目采购需求，可行性、实用性、针对性有待改善，得4分；</w:t>
            </w:r>
          </w:p>
          <w:p w14:paraId="2D0D2E21">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（4）方案不可行或者未提供得0分。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DD8C520">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10</w:t>
            </w:r>
          </w:p>
        </w:tc>
      </w:tr>
      <w:tr w14:paraId="448B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90" w:hRule="atLeast"/>
          <w:jc w:val="center"/>
        </w:trPr>
        <w:tc>
          <w:tcPr>
            <w:tcW w:w="999" w:type="dxa"/>
            <w:vMerge w:val="continue"/>
            <w:tcBorders>
              <w:left w:val="single" w:color="auto" w:sz="4" w:space="0"/>
              <w:right w:val="single" w:color="auto" w:sz="4" w:space="0"/>
            </w:tcBorders>
            <w:noWrap w:val="0"/>
            <w:vAlign w:val="center"/>
          </w:tcPr>
          <w:p w14:paraId="0BCD2B5C">
            <w:pPr>
              <w:widowControl w:val="0"/>
              <w:wordWrap/>
              <w:spacing w:line="400" w:lineRule="exact"/>
              <w:ind w:firstLine="0" w:firstLineChars="0"/>
              <w:jc w:val="center"/>
              <w:rPr>
                <w:rFonts w:hint="eastAsia" w:ascii="仿宋" w:hAnsi="仿宋" w:eastAsia="仿宋" w:cs="仿宋"/>
                <w:color w:val="auto"/>
                <w:sz w:val="24"/>
                <w:szCs w:val="24"/>
                <w:highlight w:val="none"/>
              </w:rPr>
            </w:pPr>
          </w:p>
        </w:tc>
        <w:tc>
          <w:tcPr>
            <w:tcW w:w="1074" w:type="dxa"/>
            <w:tcBorders>
              <w:left w:val="single" w:color="auto" w:sz="4" w:space="0"/>
              <w:right w:val="single" w:color="auto" w:sz="4" w:space="0"/>
            </w:tcBorders>
            <w:shd w:val="clear" w:color="auto" w:fill="auto"/>
            <w:noWrap w:val="0"/>
            <w:vAlign w:val="center"/>
          </w:tcPr>
          <w:p w14:paraId="3917D66C">
            <w:pPr>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项目实施方案</w:t>
            </w:r>
          </w:p>
        </w:tc>
        <w:tc>
          <w:tcPr>
            <w:tcW w:w="6369" w:type="dxa"/>
            <w:tcBorders>
              <w:top w:val="single" w:color="auto" w:sz="4" w:space="0"/>
              <w:left w:val="single" w:color="auto" w:sz="4" w:space="0"/>
              <w:right w:val="single" w:color="auto" w:sz="4" w:space="0"/>
            </w:tcBorders>
            <w:shd w:val="clear" w:color="auto" w:fill="auto"/>
            <w:noWrap w:val="0"/>
            <w:vAlign w:val="center"/>
          </w:tcPr>
          <w:p w14:paraId="39A1D383">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磋商小组根据采购文件要求及供应商提供的实施方案情况，进行综合评分，至少包含下列内容：项目实施的计划、项目组人员配置以及对应的保障措施等内容，内容包括:</w:t>
            </w:r>
          </w:p>
          <w:p w14:paraId="088B68C9">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1.项目实施计划；</w:t>
            </w:r>
          </w:p>
          <w:p w14:paraId="76BC0E74">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2.项目人员配置；</w:t>
            </w:r>
          </w:p>
          <w:p w14:paraId="2F295F78">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3.项目服务多平台部署；</w:t>
            </w:r>
          </w:p>
          <w:p w14:paraId="62830646">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4.智能客服品牌推广。</w:t>
            </w:r>
          </w:p>
          <w:p w14:paraId="366D9D73">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磋商小组根据供应商提供的方案，进行综合评审:</w:t>
            </w:r>
          </w:p>
          <w:p w14:paraId="5739D8F6">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(1)对本项目特点和难点理解准确，方案优于本项目采购需求，完整详细，可行性实用性、针对性强，得5分；</w:t>
            </w:r>
          </w:p>
          <w:p w14:paraId="3A0E2604">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(2)对本项目特点和难点理解基本准确，方案适合本项目采购需求，完整详细，具有可行性、实用性和针对性，得3分；</w:t>
            </w:r>
          </w:p>
          <w:p w14:paraId="236F0602">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(3)对本项目特点和难点理解有待提升，方案基本适合本项目采购需求，可行性、实用性、针对性有待改善，得1分；</w:t>
            </w:r>
          </w:p>
          <w:p w14:paraId="1D12C4D1">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(4)方案不可行或者未提供得0分。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984E725">
            <w:pPr>
              <w:keepNext w:val="0"/>
              <w:keepLines w:val="0"/>
              <w:pageBreakBefore w:val="0"/>
              <w:widowControl/>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p>
        </w:tc>
      </w:tr>
      <w:tr w14:paraId="37B7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111" w:hRule="atLeast"/>
          <w:jc w:val="center"/>
        </w:trPr>
        <w:tc>
          <w:tcPr>
            <w:tcW w:w="999" w:type="dxa"/>
            <w:vMerge w:val="continue"/>
            <w:tcBorders>
              <w:left w:val="single" w:color="auto" w:sz="4" w:space="0"/>
              <w:right w:val="single" w:color="auto" w:sz="4" w:space="0"/>
            </w:tcBorders>
            <w:noWrap w:val="0"/>
            <w:vAlign w:val="center"/>
          </w:tcPr>
          <w:p w14:paraId="340C185E">
            <w:pPr>
              <w:widowControl w:val="0"/>
              <w:wordWrap/>
              <w:spacing w:line="400" w:lineRule="exact"/>
              <w:ind w:firstLine="0" w:firstLineChars="0"/>
              <w:jc w:val="center"/>
              <w:rPr>
                <w:rFonts w:hint="eastAsia" w:ascii="仿宋" w:hAnsi="仿宋" w:eastAsia="仿宋" w:cs="仿宋"/>
                <w:color w:val="auto"/>
                <w:sz w:val="24"/>
                <w:szCs w:val="24"/>
                <w:highlight w:val="none"/>
              </w:rPr>
            </w:pPr>
          </w:p>
        </w:tc>
        <w:tc>
          <w:tcPr>
            <w:tcW w:w="1074" w:type="dxa"/>
            <w:tcBorders>
              <w:left w:val="single" w:color="auto" w:sz="4" w:space="0"/>
              <w:right w:val="single" w:color="auto" w:sz="4" w:space="0"/>
            </w:tcBorders>
            <w:noWrap w:val="0"/>
            <w:vAlign w:val="center"/>
          </w:tcPr>
          <w:p w14:paraId="7E56DDAB">
            <w:pPr>
              <w:widowControl w:val="0"/>
              <w:wordWrap/>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售后方案</w:t>
            </w:r>
          </w:p>
        </w:tc>
        <w:tc>
          <w:tcPr>
            <w:tcW w:w="6369" w:type="dxa"/>
            <w:tcBorders>
              <w:top w:val="single" w:color="auto" w:sz="4" w:space="0"/>
              <w:left w:val="single" w:color="auto" w:sz="4" w:space="0"/>
              <w:right w:val="single" w:color="auto" w:sz="4" w:space="0"/>
            </w:tcBorders>
            <w:noWrap w:val="0"/>
            <w:vAlign w:val="center"/>
          </w:tcPr>
          <w:p w14:paraId="645B9A28">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 w:val="0"/>
                <w:bCs/>
                <w:color w:val="auto"/>
                <w:sz w:val="24"/>
                <w:szCs w:val="24"/>
                <w:highlight w:val="none"/>
                <w:lang w:val="en-US" w:eastAsia="zh-CN"/>
              </w:rPr>
              <w:t>供应商针对本项目理解,根据项目实际需求，提供符合本项目的售后方案，内容包括：</w:t>
            </w:r>
          </w:p>
          <w:p w14:paraId="7A74C39A">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1.售后服务内容；</w:t>
            </w:r>
          </w:p>
          <w:p w14:paraId="19367A8F">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2.售后服务响应时间；</w:t>
            </w:r>
          </w:p>
          <w:p w14:paraId="700FD976">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3.投入售后服务人员配备。</w:t>
            </w:r>
          </w:p>
          <w:p w14:paraId="1DCEB443">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磋商小组根据供应商提供的方案，进行综合评审：</w:t>
            </w:r>
          </w:p>
          <w:p w14:paraId="7B6E46C5">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（1）对本项目特点和难点理解准确，方案优于本项目采购需求，完整详细，可行性、实用性、针对性强，得5分；</w:t>
            </w:r>
          </w:p>
          <w:p w14:paraId="49D9C302">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（2）对本项目特点和难点理解基本准确，方案适合本项目采购需求，完整详细，具有可行性、实用性和针对性，得3分；</w:t>
            </w:r>
          </w:p>
          <w:p w14:paraId="50545A60">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（3）对本项目特点和难点理解有待提升，方案基本适合本项目采购需求，可行性、实用性、针对性有待改善，得1分；</w:t>
            </w:r>
          </w:p>
          <w:p w14:paraId="769865ED">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（4）方案不可行或者未提供得0分。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69A0EA8">
            <w:pPr>
              <w:keepNext w:val="0"/>
              <w:keepLines w:val="0"/>
              <w:pageBreakBefore w:val="0"/>
              <w:widowControl/>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p>
        </w:tc>
      </w:tr>
      <w:tr w14:paraId="2B5A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111" w:hRule="atLeast"/>
          <w:jc w:val="center"/>
        </w:trPr>
        <w:tc>
          <w:tcPr>
            <w:tcW w:w="999" w:type="dxa"/>
            <w:tcBorders>
              <w:left w:val="single" w:color="auto" w:sz="4" w:space="0"/>
              <w:right w:val="single" w:color="auto" w:sz="4" w:space="0"/>
            </w:tcBorders>
            <w:noWrap w:val="0"/>
            <w:vAlign w:val="center"/>
          </w:tcPr>
          <w:p w14:paraId="2F502F32">
            <w:pPr>
              <w:widowControl w:val="0"/>
              <w:wordWrap/>
              <w:spacing w:line="400" w:lineRule="exact"/>
              <w:ind w:firstLine="0" w:firstLineChars="0"/>
              <w:jc w:val="center"/>
              <w:rPr>
                <w:rFonts w:hint="eastAsia" w:ascii="仿宋" w:hAnsi="仿宋" w:eastAsia="仿宋" w:cs="仿宋"/>
                <w:color w:val="auto"/>
                <w:sz w:val="24"/>
                <w:szCs w:val="24"/>
                <w:highlight w:val="none"/>
              </w:rPr>
            </w:pPr>
          </w:p>
        </w:tc>
        <w:tc>
          <w:tcPr>
            <w:tcW w:w="1074" w:type="dxa"/>
            <w:tcBorders>
              <w:left w:val="single" w:color="auto" w:sz="4" w:space="0"/>
              <w:right w:val="single" w:color="auto" w:sz="4" w:space="0"/>
            </w:tcBorders>
            <w:shd w:val="clear" w:color="auto" w:fill="auto"/>
            <w:noWrap w:val="0"/>
            <w:vAlign w:val="center"/>
          </w:tcPr>
          <w:p w14:paraId="34C087F6">
            <w:pPr>
              <w:keepNext w:val="0"/>
              <w:keepLines w:val="0"/>
              <w:widowControl w:val="0"/>
              <w:suppressLineNumbers w:val="0"/>
              <w:overflowPunct w:val="0"/>
              <w:spacing w:before="0" w:beforeAutospacing="0" w:after="120" w:afterAutospacing="0" w:line="400" w:lineRule="exact"/>
              <w:ind w:left="0" w:leftChars="0" w:right="0" w:rightChars="0" w:firstLine="0" w:firstLineChars="0"/>
              <w:jc w:val="both"/>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类似业绩</w:t>
            </w:r>
          </w:p>
        </w:tc>
        <w:tc>
          <w:tcPr>
            <w:tcW w:w="6369" w:type="dxa"/>
            <w:tcBorders>
              <w:top w:val="single" w:color="auto" w:sz="4" w:space="0"/>
              <w:left w:val="single" w:color="auto" w:sz="4" w:space="0"/>
              <w:right w:val="single" w:color="auto" w:sz="4" w:space="0"/>
            </w:tcBorders>
            <w:shd w:val="clear" w:color="auto" w:fill="auto"/>
            <w:noWrap w:val="0"/>
            <w:vAlign w:val="center"/>
          </w:tcPr>
          <w:p w14:paraId="4AF9C6FC">
            <w:pPr>
              <w:keepNext w:val="0"/>
              <w:keepLines w:val="0"/>
              <w:widowControl w:val="0"/>
              <w:suppressLineNumbers w:val="0"/>
              <w:overflowPunct w:val="0"/>
              <w:spacing w:before="0" w:beforeAutospacing="0" w:after="120" w:afterAutospacing="0" w:line="400" w:lineRule="exact"/>
              <w:ind w:left="0" w:right="0" w:firstLine="0" w:firstLineChars="0"/>
              <w:jc w:val="both"/>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供应商每具有一个市级及以上的医保领域类似项目业绩的得5分，满分10分。</w:t>
            </w:r>
          </w:p>
          <w:p w14:paraId="72BA09A7">
            <w:pPr>
              <w:keepNext w:val="0"/>
              <w:keepLines w:val="0"/>
              <w:widowControl w:val="0"/>
              <w:suppressLineNumbers w:val="0"/>
              <w:overflowPunct w:val="0"/>
              <w:spacing w:before="0" w:beforeAutospacing="0" w:after="120" w:afterAutospacing="0" w:line="400" w:lineRule="exact"/>
              <w:ind w:left="0" w:leftChars="0" w:right="0" w:rightChars="0" w:firstLine="0" w:firstLineChars="0"/>
              <w:jc w:val="both"/>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注：投标文件中提供业绩合同、项目验收证明材料扫描件，不提供或提供不全的不得分。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C0EB885">
            <w:pPr>
              <w:keepNext w:val="0"/>
              <w:keepLines w:val="0"/>
              <w:pageBreakBefore w:val="0"/>
              <w:widowControl/>
              <w:kinsoku/>
              <w:wordWrap/>
              <w:overflowPunct/>
              <w:topLinePunct w:val="0"/>
              <w:autoSpaceDE/>
              <w:autoSpaceDN/>
              <w:bidi w:val="0"/>
              <w:spacing w:line="288"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0-10</w:t>
            </w:r>
          </w:p>
        </w:tc>
      </w:tr>
      <w:tr w14:paraId="5CE1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526" w:hRule="atLeast"/>
          <w:jc w:val="center"/>
        </w:trPr>
        <w:tc>
          <w:tcPr>
            <w:tcW w:w="999" w:type="dxa"/>
            <w:tcBorders>
              <w:left w:val="single" w:color="auto" w:sz="4" w:space="0"/>
              <w:right w:val="single" w:color="auto" w:sz="4" w:space="0"/>
            </w:tcBorders>
            <w:noWrap w:val="0"/>
            <w:vAlign w:val="center"/>
          </w:tcPr>
          <w:p w14:paraId="63D08853">
            <w:pPr>
              <w:widowControl w:val="0"/>
              <w:wordWrap/>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p>
          <w:p w14:paraId="714A79DF">
            <w:pPr>
              <w:widowControl w:val="0"/>
              <w:wordWrap/>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20</w:t>
            </w:r>
            <w:r>
              <w:rPr>
                <w:rFonts w:hint="eastAsia" w:ascii="仿宋" w:hAnsi="仿宋" w:eastAsia="仿宋" w:cs="仿宋"/>
                <w:color w:val="auto"/>
                <w:sz w:val="24"/>
                <w:szCs w:val="24"/>
                <w:highlight w:val="none"/>
              </w:rPr>
              <w:t>分）</w:t>
            </w:r>
          </w:p>
        </w:tc>
        <w:tc>
          <w:tcPr>
            <w:tcW w:w="8439" w:type="dxa"/>
            <w:gridSpan w:val="3"/>
            <w:tcBorders>
              <w:top w:val="single" w:color="auto" w:sz="4" w:space="0"/>
              <w:left w:val="single" w:color="auto" w:sz="4" w:space="0"/>
              <w:bottom w:val="single" w:color="auto" w:sz="4" w:space="0"/>
              <w:right w:val="single" w:color="auto" w:sz="4" w:space="0"/>
            </w:tcBorders>
            <w:noWrap w:val="0"/>
            <w:vAlign w:val="center"/>
          </w:tcPr>
          <w:p w14:paraId="48FA9FE4">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价格分统一采用低价优先法，即满足磋商文件要求且最终报价最低的价格作为评标基准价，其价格分为满分20分。其他磋商供应商的价格分统一按照下列公式计算（四舍五入保留至小数点后两位数）：</w:t>
            </w:r>
          </w:p>
          <w:p w14:paraId="3C954142">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val="0"/>
                <w:bCs/>
                <w:color w:val="auto"/>
                <w:sz w:val="24"/>
                <w:szCs w:val="24"/>
                <w:highlight w:val="none"/>
                <w:lang w:val="en-US" w:eastAsia="zh-CN"/>
              </w:rPr>
              <w:t>磋商报价得分＝（评标基准价/磋商报价）×20％×100</w:t>
            </w:r>
          </w:p>
        </w:tc>
      </w:tr>
    </w:tbl>
    <w:p w14:paraId="28C063A7">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26F39BDD">
      <w:pPr>
        <w:pStyle w:val="12"/>
        <w:keepNext w:val="0"/>
        <w:keepLines w:val="0"/>
        <w:pageBreakBefore w:val="0"/>
        <w:kinsoku/>
        <w:wordWrap/>
        <w:overflowPunct/>
        <w:topLinePunct w:val="0"/>
        <w:autoSpaceDE/>
        <w:autoSpaceDN/>
        <w:bidi w:val="0"/>
        <w:adjustRightInd/>
        <w:snapToGrid/>
        <w:spacing w:line="480" w:lineRule="exact"/>
        <w:ind w:left="0" w:leftChars="0" w:right="-11"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、得分汇总</w:t>
      </w:r>
    </w:p>
    <w:p w14:paraId="2C0ECD10">
      <w:pPr>
        <w:pStyle w:val="12"/>
        <w:keepNext w:val="0"/>
        <w:keepLines w:val="0"/>
        <w:pageBreakBefore w:val="0"/>
        <w:widowControl w:val="0"/>
        <w:kinsoku/>
        <w:wordWrap/>
        <w:overflowPunct/>
        <w:topLinePunct w:val="0"/>
        <w:autoSpaceDE/>
        <w:autoSpaceDN/>
        <w:bidi w:val="0"/>
        <w:adjustRightInd/>
        <w:snapToGrid/>
        <w:spacing w:line="480" w:lineRule="exact"/>
        <w:ind w:left="0" w:leftChars="0" w:right="-11"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（1）将每个供应商的技术标分之和加上根据上述标准计算出的价格分，即为该供应商的综合总得分。</w:t>
      </w:r>
    </w:p>
    <w:p w14:paraId="5A8BED48">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（2）按照有效供应商综合总得分由高到低依次排出</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供应商及</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候选供应商。</w:t>
      </w:r>
      <w:bookmarkStart w:id="70" w:name="_Toc31228"/>
      <w:r>
        <w:rPr>
          <w:rFonts w:hint="eastAsia" w:ascii="仿宋" w:hAnsi="仿宋" w:eastAsia="仿宋" w:cs="仿宋"/>
          <w:color w:val="auto"/>
          <w:sz w:val="28"/>
          <w:szCs w:val="28"/>
          <w:highlight w:val="none"/>
          <w:lang w:val="en-US" w:eastAsia="zh-CN"/>
        </w:rPr>
        <w:t xml:space="preserve"> </w:t>
      </w:r>
      <w:bookmarkEnd w:id="70"/>
    </w:p>
    <w:p w14:paraId="3349AEC2">
      <w:pPr>
        <w:pStyle w:val="32"/>
        <w:rPr>
          <w:rFonts w:hint="eastAsia" w:ascii="仿宋" w:hAnsi="仿宋" w:eastAsia="仿宋" w:cs="仿宋"/>
          <w:color w:val="auto"/>
          <w:sz w:val="28"/>
          <w:szCs w:val="28"/>
          <w:highlight w:val="none"/>
          <w:lang w:val="en-US" w:eastAsia="zh-CN"/>
        </w:rPr>
      </w:pPr>
    </w:p>
    <w:p w14:paraId="54A6FA60">
      <w:pPr>
        <w:pStyle w:val="32"/>
        <w:rPr>
          <w:rFonts w:hint="eastAsia" w:ascii="仿宋" w:hAnsi="仿宋" w:eastAsia="仿宋" w:cs="仿宋"/>
          <w:color w:val="auto"/>
          <w:sz w:val="28"/>
          <w:szCs w:val="28"/>
          <w:highlight w:val="none"/>
          <w:lang w:val="en-US" w:eastAsia="zh-CN"/>
        </w:rPr>
      </w:pPr>
    </w:p>
    <w:p w14:paraId="16E643CD">
      <w:pPr>
        <w:pStyle w:val="32"/>
        <w:rPr>
          <w:rFonts w:hint="eastAsia" w:ascii="仿宋" w:hAnsi="仿宋" w:eastAsia="仿宋" w:cs="仿宋"/>
          <w:color w:val="auto"/>
          <w:sz w:val="28"/>
          <w:szCs w:val="28"/>
          <w:highlight w:val="none"/>
          <w:lang w:val="en-US" w:eastAsia="zh-CN"/>
        </w:rPr>
      </w:pPr>
    </w:p>
    <w:p w14:paraId="5E4B5295">
      <w:pPr>
        <w:pStyle w:val="32"/>
        <w:rPr>
          <w:rFonts w:hint="eastAsia" w:ascii="仿宋" w:hAnsi="仿宋" w:eastAsia="仿宋" w:cs="仿宋"/>
          <w:color w:val="auto"/>
          <w:sz w:val="28"/>
          <w:szCs w:val="28"/>
          <w:highlight w:val="none"/>
          <w:lang w:val="en-US" w:eastAsia="zh-CN"/>
        </w:rPr>
      </w:pPr>
    </w:p>
    <w:p w14:paraId="48CAA6E7">
      <w:pPr>
        <w:pStyle w:val="32"/>
        <w:rPr>
          <w:rFonts w:hint="eastAsia" w:ascii="仿宋" w:hAnsi="仿宋" w:eastAsia="仿宋" w:cs="仿宋"/>
          <w:color w:val="auto"/>
          <w:sz w:val="28"/>
          <w:szCs w:val="28"/>
          <w:highlight w:val="none"/>
          <w:lang w:val="en-US" w:eastAsia="zh-CN"/>
        </w:rPr>
      </w:pPr>
    </w:p>
    <w:p w14:paraId="149EEC5B">
      <w:pPr>
        <w:pStyle w:val="32"/>
        <w:rPr>
          <w:rFonts w:hint="eastAsia" w:ascii="仿宋" w:hAnsi="仿宋" w:eastAsia="仿宋" w:cs="仿宋"/>
          <w:color w:val="auto"/>
          <w:sz w:val="28"/>
          <w:szCs w:val="28"/>
          <w:highlight w:val="none"/>
          <w:lang w:val="en-US" w:eastAsia="zh-CN"/>
        </w:rPr>
      </w:pPr>
    </w:p>
    <w:p w14:paraId="3EECC282">
      <w:pPr>
        <w:pStyle w:val="3"/>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643" w:firstLineChars="200"/>
        <w:jc w:val="center"/>
        <w:textAlignment w:val="baseline"/>
        <w:outlineLvl w:val="0"/>
        <w:rPr>
          <w:rFonts w:hint="eastAsia" w:ascii="仿宋" w:hAnsi="仿宋" w:eastAsia="仿宋" w:cs="仿宋"/>
          <w:b/>
          <w:bCs/>
          <w:color w:val="auto"/>
          <w:sz w:val="32"/>
          <w:szCs w:val="32"/>
          <w:highlight w:val="none"/>
        </w:rPr>
      </w:pPr>
      <w:bookmarkStart w:id="71" w:name="_Toc5553"/>
      <w:bookmarkStart w:id="72" w:name="_Toc14458"/>
      <w:bookmarkStart w:id="73" w:name="_Toc1857"/>
      <w:bookmarkStart w:id="74" w:name="_Toc32130"/>
      <w:r>
        <w:rPr>
          <w:rFonts w:hint="eastAsia" w:ascii="仿宋" w:hAnsi="仿宋" w:eastAsia="仿宋" w:cs="仿宋"/>
          <w:b/>
          <w:bCs/>
          <w:color w:val="auto"/>
          <w:sz w:val="32"/>
          <w:szCs w:val="32"/>
          <w:highlight w:val="none"/>
          <w:lang w:eastAsia="zh-CN"/>
        </w:rPr>
        <w:t>六</w:t>
      </w:r>
      <w:r>
        <w:rPr>
          <w:rFonts w:hint="eastAsia" w:ascii="仿宋" w:hAnsi="仿宋" w:eastAsia="仿宋" w:cs="仿宋"/>
          <w:b/>
          <w:bCs/>
          <w:color w:val="auto"/>
          <w:sz w:val="32"/>
          <w:szCs w:val="32"/>
          <w:highlight w:val="none"/>
        </w:rPr>
        <w:t>、响应文件格式</w:t>
      </w:r>
      <w:bookmarkEnd w:id="71"/>
      <w:bookmarkEnd w:id="72"/>
      <w:bookmarkEnd w:id="73"/>
      <w:bookmarkEnd w:id="74"/>
    </w:p>
    <w:p w14:paraId="4876ED81">
      <w:pPr>
        <w:pageBreakBefore w:val="0"/>
        <w:kinsoku/>
        <w:overflowPunct/>
        <w:topLinePunct w:val="0"/>
        <w:bidi w:val="0"/>
        <w:spacing w:line="500" w:lineRule="exact"/>
        <w:ind w:left="0" w:leftChars="0" w:firstLine="562" w:firstLineChars="200"/>
        <w:jc w:val="center"/>
        <w:rPr>
          <w:rFonts w:hint="eastAsia" w:ascii="仿宋" w:hAnsi="仿宋" w:eastAsia="仿宋" w:cs="仿宋"/>
          <w:b/>
          <w:color w:val="auto"/>
          <w:sz w:val="28"/>
          <w:szCs w:val="28"/>
          <w:highlight w:val="none"/>
        </w:rPr>
      </w:pPr>
    </w:p>
    <w:p w14:paraId="29BB12F5">
      <w:pPr>
        <w:pageBreakBefore w:val="0"/>
        <w:kinsoku/>
        <w:overflowPunct/>
        <w:topLinePunct w:val="0"/>
        <w:bidi w:val="0"/>
        <w:spacing w:line="500" w:lineRule="exact"/>
        <w:ind w:left="0" w:leftChars="0" w:firstLine="562" w:firstLineChars="200"/>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u w:val="single"/>
        </w:rPr>
        <w:t>　　　　　　　　　</w:t>
      </w:r>
      <w:bookmarkStart w:id="75" w:name="_Toc18468"/>
      <w:bookmarkStart w:id="76" w:name="_Toc30279"/>
      <w:bookmarkStart w:id="77" w:name="_Toc4448"/>
      <w:bookmarkStart w:id="78" w:name="_Toc4547"/>
      <w:bookmarkStart w:id="79" w:name="_Toc22685"/>
      <w:r>
        <w:rPr>
          <w:rFonts w:hint="eastAsia" w:ascii="仿宋" w:hAnsi="仿宋" w:eastAsia="仿宋" w:cs="仿宋"/>
          <w:b/>
          <w:color w:val="auto"/>
          <w:sz w:val="28"/>
          <w:szCs w:val="28"/>
          <w:highlight w:val="none"/>
          <w:lang w:eastAsia="zh-CN"/>
        </w:rPr>
        <w:t>项目</w:t>
      </w:r>
      <w:bookmarkEnd w:id="75"/>
      <w:bookmarkEnd w:id="76"/>
      <w:bookmarkEnd w:id="77"/>
      <w:bookmarkEnd w:id="78"/>
      <w:bookmarkEnd w:id="79"/>
    </w:p>
    <w:p w14:paraId="7D0C9B5B">
      <w:pPr>
        <w:pageBreakBefore w:val="0"/>
        <w:kinsoku/>
        <w:overflowPunct/>
        <w:topLinePunct w:val="0"/>
        <w:bidi w:val="0"/>
        <w:spacing w:line="900" w:lineRule="exact"/>
        <w:ind w:left="0" w:leftChars="0" w:firstLine="562" w:firstLineChars="200"/>
        <w:rPr>
          <w:rFonts w:hint="eastAsia" w:ascii="仿宋" w:hAnsi="仿宋" w:eastAsia="仿宋" w:cs="仿宋"/>
          <w:b/>
          <w:color w:val="auto"/>
          <w:sz w:val="28"/>
          <w:szCs w:val="28"/>
          <w:highlight w:val="none"/>
        </w:rPr>
      </w:pPr>
    </w:p>
    <w:p w14:paraId="69FEA3B2">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w:t>
      </w:r>
    </w:p>
    <w:p w14:paraId="7D471B81">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p>
    <w:p w14:paraId="03322F3E">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应</w:t>
      </w:r>
    </w:p>
    <w:p w14:paraId="73AA87D2">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p>
    <w:p w14:paraId="50482B0E">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文</w:t>
      </w:r>
    </w:p>
    <w:p w14:paraId="1C1D0F23">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p>
    <w:p w14:paraId="1AF0665F">
      <w:pPr>
        <w:pageBreakBefore w:val="0"/>
        <w:kinsoku/>
        <w:overflowPunct/>
        <w:topLinePunct w:val="0"/>
        <w:bidi w:val="0"/>
        <w:ind w:left="0" w:leftChars="0"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件</w:t>
      </w:r>
    </w:p>
    <w:p w14:paraId="7D80CB2D">
      <w:pPr>
        <w:pageBreakBefore w:val="0"/>
        <w:kinsoku/>
        <w:overflowPunct/>
        <w:topLinePunct w:val="0"/>
        <w:bidi w:val="0"/>
        <w:spacing w:after="156" w:afterLines="50"/>
        <w:ind w:left="0" w:leftChars="0" w:firstLine="562" w:firstLineChars="200"/>
        <w:jc w:val="center"/>
        <w:rPr>
          <w:rFonts w:hint="eastAsia" w:ascii="仿宋" w:hAnsi="仿宋" w:eastAsia="仿宋" w:cs="仿宋"/>
          <w:b/>
          <w:color w:val="auto"/>
          <w:sz w:val="28"/>
          <w:szCs w:val="28"/>
          <w:highlight w:val="none"/>
        </w:rPr>
      </w:pPr>
    </w:p>
    <w:p w14:paraId="2D94F287">
      <w:pPr>
        <w:pageBreakBefore w:val="0"/>
        <w:kinsoku/>
        <w:overflowPunct/>
        <w:topLinePunct w:val="0"/>
        <w:bidi w:val="0"/>
        <w:spacing w:after="156" w:afterLines="50" w:line="500" w:lineRule="exact"/>
        <w:ind w:left="0" w:leftChars="0"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val="en-US" w:eastAsia="zh-CN"/>
        </w:rPr>
        <w:t>XX</w:t>
      </w:r>
      <w:r>
        <w:rPr>
          <w:rFonts w:hint="eastAsia" w:ascii="仿宋" w:hAnsi="仿宋" w:eastAsia="仿宋" w:cs="仿宋"/>
          <w:b/>
          <w:color w:val="auto"/>
          <w:sz w:val="28"/>
          <w:szCs w:val="28"/>
          <w:highlight w:val="none"/>
        </w:rPr>
        <w:t>包</w:t>
      </w:r>
    </w:p>
    <w:p w14:paraId="7D6237B4">
      <w:pPr>
        <w:pageBreakBefore w:val="0"/>
        <w:kinsoku/>
        <w:overflowPunct/>
        <w:topLinePunct w:val="0"/>
        <w:bidi w:val="0"/>
        <w:spacing w:after="156" w:afterLines="50" w:line="500" w:lineRule="exact"/>
        <w:ind w:left="0" w:leftChars="0" w:firstLine="562" w:firstLineChars="200"/>
        <w:jc w:val="center"/>
        <w:rPr>
          <w:rFonts w:hint="eastAsia" w:ascii="仿宋" w:hAnsi="仿宋" w:eastAsia="仿宋" w:cs="仿宋"/>
          <w:b/>
          <w:color w:val="auto"/>
          <w:sz w:val="28"/>
          <w:szCs w:val="28"/>
          <w:highlight w:val="none"/>
        </w:rPr>
      </w:pPr>
    </w:p>
    <w:p w14:paraId="147E7735">
      <w:pPr>
        <w:pageBreakBefore w:val="0"/>
        <w:kinsoku/>
        <w:overflowPunct/>
        <w:topLinePunct w:val="0"/>
        <w:bidi w:val="0"/>
        <w:spacing w:after="156" w:afterLines="50" w:line="500" w:lineRule="exact"/>
        <w:ind w:left="0" w:leftChars="0" w:firstLine="562" w:firstLineChars="20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供应商：</w:t>
      </w:r>
    </w:p>
    <w:p w14:paraId="12690C6E">
      <w:pPr>
        <w:pageBreakBefore w:val="0"/>
        <w:kinsoku/>
        <w:overflowPunct/>
        <w:topLinePunct w:val="0"/>
        <w:bidi w:val="0"/>
        <w:spacing w:after="156" w:afterLines="50" w:line="500" w:lineRule="exact"/>
        <w:ind w:left="0" w:leftChars="0" w:firstLine="562" w:firstLineChars="200"/>
        <w:jc w:val="center"/>
        <w:outlineLvl w:val="0"/>
        <w:rPr>
          <w:rFonts w:hint="eastAsia" w:ascii="仿宋" w:hAnsi="仿宋" w:eastAsia="仿宋" w:cs="仿宋"/>
          <w:b/>
          <w:color w:val="auto"/>
          <w:sz w:val="28"/>
          <w:szCs w:val="28"/>
          <w:highlight w:val="none"/>
        </w:rPr>
      </w:pPr>
      <w:bookmarkStart w:id="80" w:name="_Toc4670"/>
      <w:bookmarkStart w:id="81" w:name="_Toc24017"/>
      <w:bookmarkStart w:id="82" w:name="_Toc5792"/>
      <w:bookmarkStart w:id="83" w:name="_Toc4390"/>
      <w:bookmarkStart w:id="84" w:name="_Toc24769"/>
      <w:r>
        <w:rPr>
          <w:rFonts w:hint="eastAsia" w:ascii="仿宋" w:hAnsi="仿宋" w:eastAsia="仿宋" w:cs="仿宋"/>
          <w:b/>
          <w:color w:val="auto"/>
          <w:sz w:val="28"/>
          <w:szCs w:val="28"/>
          <w:highlight w:val="none"/>
        </w:rPr>
        <w:t>年  月  日</w:t>
      </w:r>
      <w:bookmarkEnd w:id="80"/>
      <w:bookmarkEnd w:id="81"/>
      <w:bookmarkEnd w:id="82"/>
      <w:bookmarkEnd w:id="83"/>
      <w:bookmarkEnd w:id="84"/>
    </w:p>
    <w:p w14:paraId="78613BA4">
      <w:pPr>
        <w:pStyle w:val="32"/>
        <w:rPr>
          <w:rFonts w:hint="eastAsia"/>
          <w:color w:val="auto"/>
          <w:highlight w:val="none"/>
          <w:lang w:eastAsia="zh-CN"/>
        </w:rPr>
      </w:pPr>
    </w:p>
    <w:p w14:paraId="3CE9CAD2">
      <w:pPr>
        <w:pStyle w:val="4"/>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85" w:name="_Toc14928"/>
      <w:bookmarkStart w:id="86" w:name="_Toc20663"/>
      <w:r>
        <w:rPr>
          <w:rFonts w:hint="eastAsia" w:ascii="仿宋" w:hAnsi="仿宋" w:eastAsia="仿宋" w:cs="仿宋"/>
          <w:color w:val="auto"/>
          <w:sz w:val="28"/>
          <w:szCs w:val="28"/>
          <w:highlight w:val="none"/>
        </w:rPr>
        <w:t>响应文件资料清单</w:t>
      </w:r>
      <w:bookmarkEnd w:id="85"/>
      <w:bookmarkEnd w:id="86"/>
    </w:p>
    <w:tbl>
      <w:tblPr>
        <w:tblStyle w:val="3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3B85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11AB08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6038" w:type="dxa"/>
            <w:noWrap w:val="0"/>
            <w:vAlign w:val="center"/>
          </w:tcPr>
          <w:p w14:paraId="56F6A583">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资料名称</w:t>
            </w:r>
          </w:p>
        </w:tc>
        <w:tc>
          <w:tcPr>
            <w:tcW w:w="1417" w:type="dxa"/>
            <w:noWrap w:val="0"/>
            <w:vAlign w:val="center"/>
          </w:tcPr>
          <w:p w14:paraId="26611A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r>
      <w:tr w14:paraId="4326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448B4F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p>
        </w:tc>
        <w:tc>
          <w:tcPr>
            <w:tcW w:w="6038" w:type="dxa"/>
            <w:noWrap w:val="0"/>
            <w:vAlign w:val="center"/>
          </w:tcPr>
          <w:p w14:paraId="4DFCE09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报价单</w:t>
            </w:r>
          </w:p>
        </w:tc>
        <w:tc>
          <w:tcPr>
            <w:tcW w:w="1417" w:type="dxa"/>
            <w:noWrap w:val="0"/>
            <w:vAlign w:val="center"/>
          </w:tcPr>
          <w:p w14:paraId="792A19FA">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p>
        </w:tc>
      </w:tr>
      <w:tr w14:paraId="13F3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6326EE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p>
        </w:tc>
        <w:tc>
          <w:tcPr>
            <w:tcW w:w="6038" w:type="dxa"/>
            <w:noWrap w:val="0"/>
            <w:vAlign w:val="center"/>
          </w:tcPr>
          <w:p w14:paraId="3277FA0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供应商基本信息</w:t>
            </w:r>
          </w:p>
        </w:tc>
        <w:tc>
          <w:tcPr>
            <w:tcW w:w="1417" w:type="dxa"/>
            <w:noWrap w:val="0"/>
            <w:vAlign w:val="center"/>
          </w:tcPr>
          <w:p w14:paraId="271E1CAA">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p>
        </w:tc>
      </w:tr>
      <w:tr w14:paraId="79F8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0CB40A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p>
        </w:tc>
        <w:tc>
          <w:tcPr>
            <w:tcW w:w="6038" w:type="dxa"/>
            <w:noWrap w:val="0"/>
            <w:vAlign w:val="center"/>
          </w:tcPr>
          <w:p w14:paraId="582B12AE">
            <w:pPr>
              <w:pStyle w:val="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授权委托书</w:t>
            </w:r>
          </w:p>
        </w:tc>
        <w:tc>
          <w:tcPr>
            <w:tcW w:w="1417" w:type="dxa"/>
            <w:noWrap w:val="0"/>
            <w:vAlign w:val="center"/>
          </w:tcPr>
          <w:p w14:paraId="30F72FEC">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p>
        </w:tc>
      </w:tr>
      <w:tr w14:paraId="42D4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16B83D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p>
        </w:tc>
        <w:tc>
          <w:tcPr>
            <w:tcW w:w="6038" w:type="dxa"/>
            <w:noWrap w:val="0"/>
            <w:vAlign w:val="center"/>
          </w:tcPr>
          <w:p w14:paraId="2C56E478">
            <w:pPr>
              <w:pStyle w:val="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响应函</w:t>
            </w:r>
          </w:p>
        </w:tc>
        <w:tc>
          <w:tcPr>
            <w:tcW w:w="1417" w:type="dxa"/>
            <w:noWrap w:val="0"/>
            <w:vAlign w:val="center"/>
          </w:tcPr>
          <w:p w14:paraId="1D647E34">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p>
        </w:tc>
      </w:tr>
      <w:tr w14:paraId="3BD4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098F48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p>
        </w:tc>
        <w:tc>
          <w:tcPr>
            <w:tcW w:w="6038" w:type="dxa"/>
            <w:noWrap w:val="0"/>
            <w:vAlign w:val="center"/>
          </w:tcPr>
          <w:p w14:paraId="61DB19A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无重大违法记录声明函、无不良信用记录承诺函</w:t>
            </w:r>
          </w:p>
        </w:tc>
        <w:tc>
          <w:tcPr>
            <w:tcW w:w="1417" w:type="dxa"/>
            <w:noWrap w:val="0"/>
            <w:vAlign w:val="center"/>
          </w:tcPr>
          <w:p w14:paraId="13F68702">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p>
        </w:tc>
      </w:tr>
      <w:tr w14:paraId="1106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noWrap w:val="0"/>
            <w:vAlign w:val="center"/>
          </w:tcPr>
          <w:p w14:paraId="75AE4C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p>
        </w:tc>
        <w:tc>
          <w:tcPr>
            <w:tcW w:w="6038" w:type="dxa"/>
            <w:noWrap w:val="0"/>
            <w:vAlign w:val="center"/>
          </w:tcPr>
          <w:p w14:paraId="3302FF5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响应情况表</w:t>
            </w:r>
          </w:p>
        </w:tc>
        <w:tc>
          <w:tcPr>
            <w:tcW w:w="1417" w:type="dxa"/>
            <w:noWrap w:val="0"/>
            <w:vAlign w:val="center"/>
          </w:tcPr>
          <w:p w14:paraId="37ABFF76">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41D3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noWrap w:val="0"/>
            <w:vAlign w:val="center"/>
          </w:tcPr>
          <w:p w14:paraId="516392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w:t>
            </w:r>
          </w:p>
        </w:tc>
        <w:tc>
          <w:tcPr>
            <w:tcW w:w="6038" w:type="dxa"/>
            <w:noWrap w:val="0"/>
            <w:vAlign w:val="center"/>
          </w:tcPr>
          <w:p w14:paraId="2BD97F1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相关服务承诺函</w:t>
            </w:r>
          </w:p>
        </w:tc>
        <w:tc>
          <w:tcPr>
            <w:tcW w:w="1417" w:type="dxa"/>
            <w:noWrap w:val="0"/>
            <w:vAlign w:val="center"/>
          </w:tcPr>
          <w:p w14:paraId="7A800200">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3C1F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noWrap w:val="0"/>
            <w:vAlign w:val="center"/>
          </w:tcPr>
          <w:p w14:paraId="2C4469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w:t>
            </w:r>
          </w:p>
        </w:tc>
        <w:tc>
          <w:tcPr>
            <w:tcW w:w="6038" w:type="dxa"/>
            <w:noWrap w:val="0"/>
            <w:vAlign w:val="center"/>
          </w:tcPr>
          <w:p w14:paraId="543FBD3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文件要求和供应商认为需要提供的其它说明和资料</w:t>
            </w:r>
          </w:p>
        </w:tc>
        <w:tc>
          <w:tcPr>
            <w:tcW w:w="1417" w:type="dxa"/>
            <w:noWrap w:val="0"/>
            <w:vAlign w:val="center"/>
          </w:tcPr>
          <w:p w14:paraId="573C838A">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4FE5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noWrap w:val="0"/>
            <w:vAlign w:val="center"/>
          </w:tcPr>
          <w:p w14:paraId="3D0D93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6038" w:type="dxa"/>
            <w:noWrap w:val="0"/>
            <w:vAlign w:val="center"/>
          </w:tcPr>
          <w:p w14:paraId="65E7432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66B0AF1F">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54F6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noWrap w:val="0"/>
            <w:vAlign w:val="center"/>
          </w:tcPr>
          <w:p w14:paraId="55B21E2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highlight w:val="none"/>
                <w:lang w:val="en-US" w:eastAsia="zh-CN"/>
              </w:rPr>
            </w:pPr>
          </w:p>
        </w:tc>
        <w:tc>
          <w:tcPr>
            <w:tcW w:w="6038" w:type="dxa"/>
            <w:noWrap w:val="0"/>
            <w:vAlign w:val="center"/>
          </w:tcPr>
          <w:p w14:paraId="218F532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6ECCD443">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305A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noWrap w:val="0"/>
            <w:vAlign w:val="center"/>
          </w:tcPr>
          <w:p w14:paraId="3FCB491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highlight w:val="none"/>
                <w:lang w:val="en-US" w:eastAsia="zh-CN"/>
              </w:rPr>
            </w:pPr>
          </w:p>
        </w:tc>
        <w:tc>
          <w:tcPr>
            <w:tcW w:w="6038" w:type="dxa"/>
            <w:noWrap w:val="0"/>
            <w:vAlign w:val="center"/>
          </w:tcPr>
          <w:p w14:paraId="3093B68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6AC3DC4A">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2317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14:paraId="3568F03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highlight w:val="none"/>
              </w:rPr>
            </w:pPr>
          </w:p>
        </w:tc>
        <w:tc>
          <w:tcPr>
            <w:tcW w:w="6038" w:type="dxa"/>
            <w:noWrap w:val="0"/>
            <w:vAlign w:val="center"/>
          </w:tcPr>
          <w:p w14:paraId="177D704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77D60707">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1524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14:paraId="63A699E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highlight w:val="none"/>
              </w:rPr>
            </w:pPr>
          </w:p>
        </w:tc>
        <w:tc>
          <w:tcPr>
            <w:tcW w:w="6038" w:type="dxa"/>
            <w:noWrap w:val="0"/>
            <w:vAlign w:val="center"/>
          </w:tcPr>
          <w:p w14:paraId="2777A56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2016F15B">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443A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noWrap w:val="0"/>
            <w:vAlign w:val="center"/>
          </w:tcPr>
          <w:p w14:paraId="40FD50C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highlight w:val="none"/>
              </w:rPr>
            </w:pPr>
          </w:p>
        </w:tc>
        <w:tc>
          <w:tcPr>
            <w:tcW w:w="6038" w:type="dxa"/>
            <w:noWrap w:val="0"/>
            <w:vAlign w:val="center"/>
          </w:tcPr>
          <w:p w14:paraId="2449E9D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019AB13B">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bl>
    <w:p w14:paraId="27EF3750">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highlight w:val="none"/>
        </w:rPr>
      </w:pPr>
    </w:p>
    <w:p w14:paraId="35483775">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highlight w:val="none"/>
        </w:rPr>
      </w:pPr>
    </w:p>
    <w:p w14:paraId="05F571B6">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highlight w:val="none"/>
        </w:rPr>
      </w:pPr>
    </w:p>
    <w:p w14:paraId="2C979A19">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bookmarkStart w:id="87" w:name="_Toc15957"/>
      <w:r>
        <w:rPr>
          <w:rFonts w:hint="eastAsia" w:ascii="仿宋" w:hAnsi="仿宋" w:eastAsia="仿宋" w:cs="仿宋"/>
          <w:color w:val="auto"/>
          <w:sz w:val="28"/>
          <w:szCs w:val="28"/>
          <w:highlight w:val="none"/>
        </w:rPr>
        <w:br w:type="page"/>
      </w:r>
      <w:bookmarkStart w:id="88" w:name="_Toc385"/>
      <w:bookmarkStart w:id="89" w:name="_Toc13782"/>
      <w:bookmarkStart w:id="90" w:name="_Toc5154"/>
      <w:bookmarkStart w:id="91" w:name="_Toc10603"/>
      <w:bookmarkStart w:id="92" w:name="_Toc8158"/>
      <w:r>
        <w:rPr>
          <w:rFonts w:hint="eastAsia" w:ascii="仿宋" w:hAnsi="仿宋" w:eastAsia="仿宋" w:cs="仿宋"/>
          <w:color w:val="auto"/>
          <w:sz w:val="28"/>
          <w:szCs w:val="28"/>
          <w:highlight w:val="none"/>
        </w:rPr>
        <w:t>附件一</w:t>
      </w:r>
      <w:bookmarkEnd w:id="87"/>
      <w:bookmarkEnd w:id="88"/>
      <w:bookmarkEnd w:id="89"/>
      <w:bookmarkEnd w:id="90"/>
      <w:bookmarkEnd w:id="91"/>
      <w:bookmarkEnd w:id="92"/>
    </w:p>
    <w:p w14:paraId="290A2207">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93" w:name="_Toc10816"/>
      <w:bookmarkStart w:id="94" w:name="_Toc5601"/>
      <w:r>
        <w:rPr>
          <w:rFonts w:hint="eastAsia" w:ascii="仿宋" w:hAnsi="仿宋" w:eastAsia="仿宋" w:cs="仿宋"/>
          <w:color w:val="auto"/>
          <w:sz w:val="28"/>
          <w:szCs w:val="28"/>
          <w:highlight w:val="none"/>
        </w:rPr>
        <w:t>报价单</w:t>
      </w:r>
      <w:bookmarkEnd w:id="93"/>
      <w:bookmarkEnd w:id="94"/>
    </w:p>
    <w:p w14:paraId="1D0F41D2">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724"/>
      </w:tblGrid>
      <w:tr w14:paraId="6933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14:paraId="4E4A435A">
            <w:pPr>
              <w:keepNext w:val="0"/>
              <w:keepLines w:val="0"/>
              <w:suppressLineNumbers w:val="0"/>
              <w:spacing w:before="0" w:beforeAutospacing="0" w:after="0" w:afterAutospacing="0"/>
              <w:ind w:left="0" w:right="0"/>
              <w:jc w:val="center"/>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078" w:type="dxa"/>
            <w:vAlign w:val="center"/>
          </w:tcPr>
          <w:p w14:paraId="784D39FA">
            <w:pPr>
              <w:keepNext w:val="0"/>
              <w:keepLines w:val="0"/>
              <w:suppressLineNumbers w:val="0"/>
              <w:spacing w:before="0" w:beforeAutospacing="0" w:after="0" w:afterAutospacing="0"/>
              <w:ind w:left="0" w:right="0"/>
              <w:jc w:val="center"/>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w:t>
            </w:r>
          </w:p>
        </w:tc>
        <w:tc>
          <w:tcPr>
            <w:tcW w:w="1214" w:type="dxa"/>
            <w:vAlign w:val="center"/>
          </w:tcPr>
          <w:p w14:paraId="5EA02427">
            <w:pPr>
              <w:keepNext w:val="0"/>
              <w:keepLines w:val="0"/>
              <w:suppressLineNumbers w:val="0"/>
              <w:spacing w:before="0" w:beforeAutospacing="0" w:after="0" w:afterAutospacing="0"/>
              <w:ind w:left="0" w:right="0"/>
              <w:jc w:val="center"/>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w:t>
            </w:r>
          </w:p>
        </w:tc>
        <w:tc>
          <w:tcPr>
            <w:tcW w:w="1091" w:type="dxa"/>
            <w:vAlign w:val="center"/>
          </w:tcPr>
          <w:p w14:paraId="077EC904">
            <w:pPr>
              <w:keepNext w:val="0"/>
              <w:keepLines w:val="0"/>
              <w:suppressLineNumbers w:val="0"/>
              <w:spacing w:before="0" w:beforeAutospacing="0" w:after="0" w:afterAutospacing="0"/>
              <w:ind w:left="0" w:right="0"/>
              <w:jc w:val="center"/>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1724" w:type="dxa"/>
            <w:vAlign w:val="center"/>
          </w:tcPr>
          <w:p w14:paraId="1D349A82">
            <w:pPr>
              <w:keepNext w:val="0"/>
              <w:keepLines w:val="0"/>
              <w:suppressLineNumbers w:val="0"/>
              <w:spacing w:before="0" w:beforeAutospacing="0" w:after="0" w:afterAutospacing="0"/>
              <w:ind w:left="0" w:right="0"/>
              <w:jc w:val="center"/>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小计金额（元）</w:t>
            </w:r>
          </w:p>
        </w:tc>
      </w:tr>
      <w:tr w14:paraId="5F3C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14:paraId="059287F0">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078" w:type="dxa"/>
            <w:vAlign w:val="center"/>
          </w:tcPr>
          <w:p w14:paraId="65D1519C">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214" w:type="dxa"/>
            <w:vAlign w:val="center"/>
          </w:tcPr>
          <w:p w14:paraId="23F442BE">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4E32E217">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034CB19F">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4935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4F681F8E">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4078" w:type="dxa"/>
            <w:vAlign w:val="center"/>
          </w:tcPr>
          <w:p w14:paraId="3CA5F351">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214" w:type="dxa"/>
            <w:vAlign w:val="center"/>
          </w:tcPr>
          <w:p w14:paraId="46187242">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30AD350D">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7483D140">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18A6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2032F981">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4078" w:type="dxa"/>
            <w:vAlign w:val="center"/>
          </w:tcPr>
          <w:p w14:paraId="65F4F947">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214" w:type="dxa"/>
            <w:vAlign w:val="center"/>
          </w:tcPr>
          <w:p w14:paraId="3250D19B">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6D1E73A1">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46AE9871">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2F01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7BE2491C">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4078" w:type="dxa"/>
            <w:vAlign w:val="center"/>
          </w:tcPr>
          <w:p w14:paraId="2EF703F9">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214" w:type="dxa"/>
            <w:vAlign w:val="center"/>
          </w:tcPr>
          <w:p w14:paraId="21DE94C6">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07767999">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5C6AF25C">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5264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8E51FA9">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4078" w:type="dxa"/>
            <w:vAlign w:val="center"/>
          </w:tcPr>
          <w:p w14:paraId="7E9F0ABA">
            <w:pPr>
              <w:keepNext w:val="0"/>
              <w:keepLines w:val="0"/>
              <w:widowControl w:val="0"/>
              <w:suppressLineNumbers w:val="0"/>
              <w:spacing w:before="0" w:beforeAutospacing="0" w:after="0" w:afterAutospacing="0"/>
              <w:ind w:left="-108" w:right="0"/>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其他费用</w:t>
            </w:r>
          </w:p>
        </w:tc>
        <w:tc>
          <w:tcPr>
            <w:tcW w:w="1214" w:type="dxa"/>
            <w:vAlign w:val="center"/>
          </w:tcPr>
          <w:p w14:paraId="46612234">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0BA5424E">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6C123097">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6421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630087CE">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4078" w:type="dxa"/>
            <w:vAlign w:val="center"/>
          </w:tcPr>
          <w:p w14:paraId="57F2D699">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214" w:type="dxa"/>
            <w:vAlign w:val="center"/>
          </w:tcPr>
          <w:p w14:paraId="51F384CB">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0775984E">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2602A9E2">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6D96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vAlign w:val="center"/>
          </w:tcPr>
          <w:p w14:paraId="643226C1">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合计金额（元）</w:t>
            </w:r>
          </w:p>
        </w:tc>
        <w:tc>
          <w:tcPr>
            <w:tcW w:w="1724" w:type="dxa"/>
            <w:vAlign w:val="center"/>
          </w:tcPr>
          <w:p w14:paraId="20777F16">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bl>
    <w:p w14:paraId="717E50FC">
      <w:pPr>
        <w:pStyle w:val="17"/>
        <w:keepNext w:val="0"/>
        <w:keepLines w:val="0"/>
        <w:pageBreakBefore w:val="0"/>
        <w:widowControl w:val="0"/>
        <w:kinsoku/>
        <w:wordWrap/>
        <w:overflowPunct/>
        <w:topLinePunct w:val="0"/>
        <w:autoSpaceDE/>
        <w:autoSpaceDN/>
        <w:bidi w:val="0"/>
        <w:spacing w:line="560" w:lineRule="exact"/>
        <w:ind w:left="0" w:leftChars="0" w:firstLine="562" w:firstLineChars="200"/>
        <w:textAlignment w:val="auto"/>
        <w:outlineLvl w:val="9"/>
        <w:rPr>
          <w:rFonts w:hint="eastAsia" w:ascii="仿宋" w:hAnsi="仿宋" w:eastAsia="仿宋" w:cs="仿宋"/>
          <w:b/>
          <w:bCs/>
          <w:color w:val="auto"/>
          <w:sz w:val="28"/>
          <w:szCs w:val="28"/>
          <w:highlight w:val="none"/>
        </w:rPr>
      </w:pPr>
    </w:p>
    <w:p w14:paraId="477E0147">
      <w:pPr>
        <w:pStyle w:val="17"/>
        <w:keepNext w:val="0"/>
        <w:keepLines w:val="0"/>
        <w:pageBreakBefore w:val="0"/>
        <w:widowControl w:val="0"/>
        <w:kinsoku/>
        <w:wordWrap/>
        <w:overflowPunct/>
        <w:topLinePunct w:val="0"/>
        <w:autoSpaceDE/>
        <w:autoSpaceDN/>
        <w:bidi w:val="0"/>
        <w:spacing w:line="560" w:lineRule="exact"/>
        <w:ind w:left="0" w:leftChars="0" w:firstLine="562" w:firstLineChars="200"/>
        <w:textAlignment w:val="auto"/>
        <w:outlineLvl w:val="9"/>
        <w:rPr>
          <w:rFonts w:hint="eastAsia" w:ascii="仿宋" w:hAnsi="仿宋" w:eastAsia="仿宋" w:cs="仿宋"/>
          <w:b/>
          <w:bCs/>
          <w:color w:val="auto"/>
          <w:sz w:val="28"/>
          <w:szCs w:val="28"/>
          <w:highlight w:val="none"/>
        </w:rPr>
      </w:pPr>
    </w:p>
    <w:p w14:paraId="63F00616">
      <w:pPr>
        <w:pStyle w:val="17"/>
        <w:keepNext w:val="0"/>
        <w:keepLines w:val="0"/>
        <w:pageBreakBefore w:val="0"/>
        <w:widowControl w:val="0"/>
        <w:kinsoku/>
        <w:wordWrap/>
        <w:overflowPunct/>
        <w:topLinePunct w:val="0"/>
        <w:autoSpaceDE/>
        <w:autoSpaceDN/>
        <w:bidi w:val="0"/>
        <w:spacing w:line="560" w:lineRule="exact"/>
        <w:ind w:left="0" w:leftChars="0"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0D0AD06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  期：   年   月   日</w:t>
      </w:r>
    </w:p>
    <w:p w14:paraId="3CAC33E0">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bCs/>
          <w:color w:val="auto"/>
          <w:sz w:val="28"/>
          <w:szCs w:val="28"/>
          <w:highlight w:val="none"/>
        </w:rPr>
      </w:pPr>
    </w:p>
    <w:p w14:paraId="369258DD">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color w:val="auto"/>
          <w:sz w:val="28"/>
          <w:szCs w:val="28"/>
          <w:highlight w:val="none"/>
        </w:rPr>
      </w:pPr>
      <w:bookmarkStart w:id="95" w:name="_Toc21877"/>
      <w:bookmarkStart w:id="96" w:name="_Toc2007"/>
      <w:bookmarkStart w:id="97" w:name="_Toc16998"/>
    </w:p>
    <w:p w14:paraId="1A5E0A42">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注：表中所列服务为对应本项目需求的全部服务内容。</w:t>
      </w:r>
    </w:p>
    <w:p w14:paraId="23D7ECF8">
      <w:pPr>
        <w:pStyle w:val="4"/>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highlight w:val="none"/>
        </w:rPr>
      </w:pPr>
    </w:p>
    <w:p w14:paraId="70603932">
      <w:pPr>
        <w:pStyle w:val="4"/>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highlight w:val="none"/>
        </w:rPr>
      </w:pPr>
    </w:p>
    <w:p w14:paraId="7E51ACEE">
      <w:pPr>
        <w:pStyle w:val="4"/>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highlight w:val="none"/>
        </w:rPr>
      </w:pPr>
    </w:p>
    <w:p w14:paraId="55BCD69D">
      <w:pPr>
        <w:pStyle w:val="4"/>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98" w:name="_Toc26772"/>
      <w:bookmarkStart w:id="99" w:name="_Toc22522"/>
      <w:bookmarkStart w:id="100" w:name="_Toc11735"/>
      <w:r>
        <w:rPr>
          <w:rFonts w:hint="eastAsia" w:ascii="仿宋" w:hAnsi="仿宋" w:eastAsia="仿宋" w:cs="仿宋"/>
          <w:color w:val="auto"/>
          <w:sz w:val="28"/>
          <w:szCs w:val="28"/>
          <w:highlight w:val="none"/>
        </w:rPr>
        <w:t>附件二</w:t>
      </w:r>
      <w:bookmarkEnd w:id="95"/>
      <w:bookmarkEnd w:id="96"/>
      <w:bookmarkEnd w:id="97"/>
      <w:bookmarkEnd w:id="98"/>
      <w:bookmarkEnd w:id="99"/>
      <w:bookmarkEnd w:id="100"/>
    </w:p>
    <w:p w14:paraId="75FEFC5A">
      <w:pPr>
        <w:pStyle w:val="4"/>
        <w:keepNext/>
        <w:keepLines/>
        <w:pageBreakBefore w:val="0"/>
        <w:widowControl w:val="0"/>
        <w:kinsoku/>
        <w:wordWrap/>
        <w:overflowPunct/>
        <w:topLinePunct w:val="0"/>
        <w:autoSpaceDE/>
        <w:autoSpaceDN/>
        <w:bidi w:val="0"/>
        <w:adjustRightInd w:val="0"/>
        <w:snapToGrid/>
        <w:spacing w:before="0" w:after="0" w:line="52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101" w:name="_Toc3262"/>
      <w:bookmarkStart w:id="102" w:name="_Toc17280"/>
      <w:r>
        <w:rPr>
          <w:rFonts w:hint="eastAsia" w:ascii="仿宋" w:hAnsi="仿宋" w:eastAsia="仿宋" w:cs="仿宋"/>
          <w:color w:val="auto"/>
          <w:sz w:val="28"/>
          <w:szCs w:val="28"/>
          <w:highlight w:val="none"/>
        </w:rPr>
        <w:t>供应商基本信息</w:t>
      </w:r>
      <w:bookmarkEnd w:id="101"/>
      <w:bookmarkEnd w:id="102"/>
    </w:p>
    <w:p w14:paraId="4C71C559">
      <w:pPr>
        <w:pStyle w:val="32"/>
        <w:pageBreakBefore w:val="0"/>
        <w:widowControl w:val="0"/>
        <w:kinsoku/>
        <w:overflowPunct/>
        <w:topLinePunct w:val="0"/>
        <w:autoSpaceDE/>
        <w:autoSpaceDN/>
        <w:bidi w:val="0"/>
        <w:snapToGrid/>
        <w:spacing w:line="520" w:lineRule="exact"/>
        <w:ind w:left="0" w:leftChars="0" w:firstLine="562" w:firstLineChars="200"/>
        <w:rPr>
          <w:rFonts w:hint="eastAsia" w:ascii="仿宋" w:hAnsi="仿宋" w:eastAsia="仿宋" w:cs="仿宋"/>
          <w:color w:val="auto"/>
          <w:sz w:val="28"/>
          <w:szCs w:val="28"/>
          <w:highlight w:val="none"/>
        </w:rPr>
      </w:pPr>
    </w:p>
    <w:p w14:paraId="0A101F48">
      <w:pPr>
        <w:pStyle w:val="4"/>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bookmarkStart w:id="103" w:name="_Toc18369"/>
      <w:bookmarkStart w:id="104" w:name="_Toc231"/>
      <w:bookmarkStart w:id="105" w:name="_Toc13504"/>
      <w:bookmarkStart w:id="106" w:name="_Toc26570"/>
      <w:bookmarkStart w:id="107" w:name="_Toc11062"/>
      <w:bookmarkStart w:id="108" w:name="_Toc2682"/>
      <w:r>
        <w:rPr>
          <w:rFonts w:hint="eastAsia" w:ascii="仿宋" w:hAnsi="仿宋" w:eastAsia="仿宋" w:cs="仿宋"/>
          <w:color w:val="auto"/>
          <w:sz w:val="28"/>
          <w:szCs w:val="28"/>
          <w:highlight w:val="none"/>
        </w:rPr>
        <w:t>附件三</w:t>
      </w:r>
      <w:bookmarkEnd w:id="103"/>
      <w:bookmarkEnd w:id="104"/>
      <w:bookmarkEnd w:id="105"/>
      <w:bookmarkEnd w:id="106"/>
      <w:bookmarkEnd w:id="107"/>
      <w:bookmarkEnd w:id="108"/>
    </w:p>
    <w:p w14:paraId="08E81F79">
      <w:pPr>
        <w:pStyle w:val="4"/>
        <w:keepNext/>
        <w:keepLines/>
        <w:pageBreakBefore w:val="0"/>
        <w:widowControl w:val="0"/>
        <w:kinsoku/>
        <w:wordWrap/>
        <w:overflowPunct/>
        <w:topLinePunct w:val="0"/>
        <w:autoSpaceDE/>
        <w:autoSpaceDN/>
        <w:bidi w:val="0"/>
        <w:adjustRightInd w:val="0"/>
        <w:snapToGrid/>
        <w:spacing w:before="0" w:after="0" w:line="520" w:lineRule="exact"/>
        <w:ind w:left="0" w:leftChars="0" w:firstLine="562" w:firstLineChars="200"/>
        <w:jc w:val="center"/>
        <w:textAlignment w:val="baseline"/>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授权委托书</w:t>
      </w:r>
    </w:p>
    <w:p w14:paraId="736E4981">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致：_________________</w:t>
      </w:r>
    </w:p>
    <w:p w14:paraId="19BF0F10">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本授权书声明：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（法人代表姓名）授权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（被授权人的姓名）为我方就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）项目</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活动的合法代理人，以我方名义全权处理与该项目</w:t>
      </w:r>
      <w:r>
        <w:rPr>
          <w:rFonts w:hint="eastAsia" w:ascii="仿宋" w:hAnsi="仿宋" w:eastAsia="仿宋" w:cs="仿宋"/>
          <w:color w:val="auto"/>
          <w:sz w:val="28"/>
          <w:szCs w:val="28"/>
          <w:highlight w:val="none"/>
          <w:lang w:eastAsia="zh-CN"/>
        </w:rPr>
        <w:t>洽谈</w:t>
      </w:r>
      <w:r>
        <w:rPr>
          <w:rFonts w:hint="eastAsia" w:ascii="仿宋" w:hAnsi="仿宋" w:eastAsia="仿宋" w:cs="仿宋"/>
          <w:color w:val="auto"/>
          <w:sz w:val="28"/>
          <w:szCs w:val="28"/>
          <w:highlight w:val="none"/>
        </w:rPr>
        <w:t>、签订合同以及合同执行有关的一切事务。</w:t>
      </w:r>
    </w:p>
    <w:p w14:paraId="59CA8F7C">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DAE373A">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p>
    <w:p w14:paraId="39718C18">
      <w:pPr>
        <w:pageBreakBefore w:val="0"/>
        <w:widowControl w:val="0"/>
        <w:kinsoku/>
        <w:overflowPunct/>
        <w:topLinePunct w:val="0"/>
        <w:autoSpaceDE/>
        <w:autoSpaceDN/>
        <w:bidi w:val="0"/>
        <w:snapToGrid/>
        <w:spacing w:line="520" w:lineRule="exact"/>
        <w:ind w:left="0" w:leftChars="0" w:firstLine="562" w:firstLineChars="200"/>
        <w:jc w:val="left"/>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rPr>
        <w:t>法定代表人签字：</w:t>
      </w:r>
      <w:r>
        <w:rPr>
          <w:rFonts w:hint="eastAsia" w:ascii="仿宋" w:hAnsi="仿宋" w:eastAsia="仿宋" w:cs="仿宋"/>
          <w:color w:val="auto"/>
          <w:sz w:val="28"/>
          <w:szCs w:val="28"/>
          <w:highlight w:val="none"/>
          <w:u w:val="single"/>
        </w:rPr>
        <w:t xml:space="preserve">                            </w:t>
      </w:r>
    </w:p>
    <w:p w14:paraId="6E51099C">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职    务：</w:t>
      </w:r>
      <w:r>
        <w:rPr>
          <w:rFonts w:hint="eastAsia" w:ascii="仿宋" w:hAnsi="仿宋" w:eastAsia="仿宋" w:cs="仿宋"/>
          <w:color w:val="auto"/>
          <w:sz w:val="28"/>
          <w:szCs w:val="28"/>
          <w:highlight w:val="none"/>
          <w:u w:val="single"/>
        </w:rPr>
        <w:t xml:space="preserve">                        </w:t>
      </w:r>
    </w:p>
    <w:p w14:paraId="451178CE">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联系手机：</w:t>
      </w:r>
      <w:r>
        <w:rPr>
          <w:rFonts w:hint="eastAsia" w:ascii="仿宋" w:hAnsi="仿宋" w:eastAsia="仿宋" w:cs="仿宋"/>
          <w:color w:val="auto"/>
          <w:sz w:val="28"/>
          <w:szCs w:val="28"/>
          <w:highlight w:val="none"/>
          <w:u w:val="single"/>
        </w:rPr>
        <w:t xml:space="preserve">                        </w:t>
      </w:r>
    </w:p>
    <w:p w14:paraId="6F8EF028">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固定电话：</w:t>
      </w:r>
      <w:r>
        <w:rPr>
          <w:rFonts w:hint="eastAsia" w:ascii="仿宋" w:hAnsi="仿宋" w:eastAsia="仿宋" w:cs="仿宋"/>
          <w:color w:val="auto"/>
          <w:sz w:val="28"/>
          <w:szCs w:val="28"/>
          <w:highlight w:val="none"/>
          <w:u w:val="single"/>
        </w:rPr>
        <w:t xml:space="preserve">                         </w:t>
      </w:r>
    </w:p>
    <w:p w14:paraId="000EE9F2">
      <w:pPr>
        <w:pageBreakBefore w:val="0"/>
        <w:widowControl w:val="0"/>
        <w:kinsoku/>
        <w:overflowPunct/>
        <w:topLinePunct w:val="0"/>
        <w:autoSpaceDE/>
        <w:autoSpaceDN/>
        <w:bidi w:val="0"/>
        <w:snapToGrid/>
        <w:spacing w:line="520" w:lineRule="exact"/>
        <w:ind w:left="0" w:leftChars="0"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代理人（被授权人）：</w:t>
      </w:r>
      <w:r>
        <w:rPr>
          <w:rFonts w:hint="eastAsia" w:ascii="仿宋" w:hAnsi="仿宋" w:eastAsia="仿宋" w:cs="仿宋"/>
          <w:color w:val="auto"/>
          <w:sz w:val="28"/>
          <w:szCs w:val="28"/>
          <w:highlight w:val="none"/>
          <w:u w:val="single"/>
        </w:rPr>
        <w:t xml:space="preserve">                     </w:t>
      </w:r>
    </w:p>
    <w:p w14:paraId="6E7ECED7">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职    务：</w:t>
      </w:r>
      <w:r>
        <w:rPr>
          <w:rFonts w:hint="eastAsia" w:ascii="仿宋" w:hAnsi="仿宋" w:eastAsia="仿宋" w:cs="仿宋"/>
          <w:color w:val="auto"/>
          <w:sz w:val="28"/>
          <w:szCs w:val="28"/>
          <w:highlight w:val="none"/>
          <w:u w:val="single"/>
        </w:rPr>
        <w:t xml:space="preserve">                         </w:t>
      </w:r>
    </w:p>
    <w:p w14:paraId="622F6B83">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联系手机：</w:t>
      </w:r>
      <w:r>
        <w:rPr>
          <w:rFonts w:hint="eastAsia" w:ascii="仿宋" w:hAnsi="仿宋" w:eastAsia="仿宋" w:cs="仿宋"/>
          <w:color w:val="auto"/>
          <w:sz w:val="28"/>
          <w:szCs w:val="28"/>
          <w:highlight w:val="none"/>
          <w:u w:val="single"/>
        </w:rPr>
        <w:t xml:space="preserve">                          </w:t>
      </w:r>
    </w:p>
    <w:p w14:paraId="71355404">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固定电话：</w:t>
      </w:r>
      <w:r>
        <w:rPr>
          <w:rFonts w:hint="eastAsia" w:ascii="仿宋" w:hAnsi="仿宋" w:eastAsia="仿宋" w:cs="仿宋"/>
          <w:color w:val="auto"/>
          <w:sz w:val="28"/>
          <w:szCs w:val="28"/>
          <w:highlight w:val="none"/>
          <w:u w:val="single"/>
        </w:rPr>
        <w:t xml:space="preserve">                          </w:t>
      </w:r>
    </w:p>
    <w:p w14:paraId="79A3A096">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p>
    <w:p w14:paraId="40965130">
      <w:pPr>
        <w:pageBreakBefore w:val="0"/>
        <w:widowControl w:val="0"/>
        <w:kinsoku/>
        <w:wordWrap w:val="0"/>
        <w:overflowPunct/>
        <w:topLinePunct w:val="0"/>
        <w:autoSpaceDE/>
        <w:autoSpaceDN/>
        <w:bidi w:val="0"/>
        <w:snapToGrid/>
        <w:spacing w:line="520" w:lineRule="exact"/>
        <w:ind w:left="0" w:leftChars="0"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15ADC82">
      <w:pPr>
        <w:pageBreakBefore w:val="0"/>
        <w:widowControl w:val="0"/>
        <w:kinsoku/>
        <w:overflowPunct/>
        <w:topLinePunct w:val="0"/>
        <w:autoSpaceDE/>
        <w:autoSpaceDN/>
        <w:bidi w:val="0"/>
        <w:snapToGrid/>
        <w:spacing w:line="520" w:lineRule="exact"/>
        <w:ind w:left="0" w:leftChars="0"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3254022A">
      <w:pPr>
        <w:pageBreakBefore w:val="0"/>
        <w:widowControl w:val="0"/>
        <w:tabs>
          <w:tab w:val="left" w:pos="630"/>
        </w:tabs>
        <w:kinsoku/>
        <w:overflowPunct/>
        <w:topLinePunct w:val="0"/>
        <w:autoSpaceDE/>
        <w:autoSpaceDN/>
        <w:bidi w:val="0"/>
        <w:snapToGrid/>
        <w:spacing w:line="520" w:lineRule="exact"/>
        <w:ind w:left="0" w:lef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日期：</w:t>
      </w:r>
    </w:p>
    <w:p w14:paraId="7476273A">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bookmarkStart w:id="109" w:name="_Toc16258"/>
      <w:bookmarkStart w:id="110" w:name="_Toc17226"/>
      <w:bookmarkStart w:id="111" w:name="_Toc23589"/>
      <w:r>
        <w:rPr>
          <w:rFonts w:hint="eastAsia" w:ascii="仿宋" w:hAnsi="仿宋" w:eastAsia="仿宋" w:cs="仿宋"/>
          <w:color w:val="auto"/>
          <w:sz w:val="28"/>
          <w:szCs w:val="28"/>
          <w:highlight w:val="none"/>
        </w:rPr>
        <w:br w:type="page"/>
      </w:r>
      <w:bookmarkStart w:id="112" w:name="_Toc31999"/>
      <w:bookmarkStart w:id="113" w:name="_Toc28226"/>
      <w:bookmarkStart w:id="114" w:name="_Toc24774"/>
      <w:r>
        <w:rPr>
          <w:rFonts w:hint="eastAsia" w:ascii="仿宋" w:hAnsi="仿宋" w:eastAsia="仿宋" w:cs="仿宋"/>
          <w:color w:val="auto"/>
          <w:sz w:val="28"/>
          <w:szCs w:val="28"/>
          <w:highlight w:val="none"/>
        </w:rPr>
        <w:t>附件四</w:t>
      </w:r>
      <w:bookmarkEnd w:id="109"/>
      <w:bookmarkEnd w:id="110"/>
      <w:bookmarkEnd w:id="111"/>
      <w:bookmarkEnd w:id="112"/>
      <w:bookmarkEnd w:id="113"/>
      <w:bookmarkEnd w:id="114"/>
    </w:p>
    <w:p w14:paraId="6563631C">
      <w:pPr>
        <w:pStyle w:val="4"/>
        <w:keepNext/>
        <w:keepLines/>
        <w:pageBreakBefore w:val="0"/>
        <w:widowControl w:val="0"/>
        <w:kinsoku/>
        <w:wordWrap/>
        <w:overflowPunct/>
        <w:topLinePunct w:val="0"/>
        <w:autoSpaceDE/>
        <w:autoSpaceDN/>
        <w:bidi w:val="0"/>
        <w:adjustRightInd w:val="0"/>
        <w:snapToGrid/>
        <w:spacing w:before="0" w:beforeLines="0" w:after="167" w:afterLines="50" w:line="56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115" w:name="_Toc28665"/>
      <w:bookmarkStart w:id="116" w:name="_Toc29263"/>
      <w:bookmarkStart w:id="117" w:name="_Toc417045478"/>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函</w:t>
      </w:r>
      <w:bookmarkEnd w:id="115"/>
      <w:bookmarkEnd w:id="116"/>
    </w:p>
    <w:p w14:paraId="0F6301FC">
      <w:pPr>
        <w:pageBreakBefore w:val="0"/>
        <w:kinsoku/>
        <w:overflowPunct/>
        <w:topLinePunct w:val="0"/>
        <w:bidi w:val="0"/>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lang w:val="en-US" w:eastAsia="zh-CN"/>
        </w:rPr>
        <w:t>XXX（代理机构名称）</w:t>
      </w:r>
    </w:p>
    <w:p w14:paraId="21AACC2B">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w:t>
      </w:r>
      <w:r>
        <w:rPr>
          <w:rFonts w:hint="eastAsia" w:ascii="仿宋" w:hAnsi="仿宋" w:eastAsia="仿宋" w:cs="仿宋"/>
          <w:color w:val="auto"/>
          <w:sz w:val="28"/>
          <w:szCs w:val="28"/>
          <w:highlight w:val="none"/>
          <w:lang w:eastAsia="zh-CN"/>
        </w:rPr>
        <w:t>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号</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公告的内容，我方决定参加贵</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组织的“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”项目的</w:t>
      </w:r>
      <w:r>
        <w:rPr>
          <w:rFonts w:hint="eastAsia" w:ascii="仿宋" w:hAnsi="仿宋" w:eastAsia="仿宋" w:cs="仿宋"/>
          <w:color w:val="auto"/>
          <w:sz w:val="28"/>
          <w:szCs w:val="28"/>
          <w:highlight w:val="none"/>
          <w:lang w:eastAsia="zh-CN"/>
        </w:rPr>
        <w:t>发包活动</w:t>
      </w:r>
      <w:r>
        <w:rPr>
          <w:rFonts w:hint="eastAsia" w:ascii="仿宋" w:hAnsi="仿宋" w:eastAsia="仿宋" w:cs="仿宋"/>
          <w:color w:val="auto"/>
          <w:sz w:val="28"/>
          <w:szCs w:val="28"/>
          <w:highlight w:val="none"/>
        </w:rPr>
        <w:t>。我方授权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(姓名)代表我方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供应商单位名称</w:t>
      </w:r>
      <w:r>
        <w:rPr>
          <w:rFonts w:hint="eastAsia" w:ascii="仿宋" w:hAnsi="仿宋" w:eastAsia="仿宋" w:cs="仿宋"/>
          <w:color w:val="auto"/>
          <w:sz w:val="28"/>
          <w:szCs w:val="28"/>
          <w:highlight w:val="none"/>
        </w:rPr>
        <w:t>）全权处理本项目</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的有关事宜。</w:t>
      </w:r>
    </w:p>
    <w:p w14:paraId="4C963AB4">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2、我方愿意按照</w:t>
      </w:r>
      <w:r>
        <w:rPr>
          <w:rFonts w:hint="eastAsia" w:ascii="仿宋" w:hAnsi="仿宋" w:eastAsia="仿宋" w:cs="仿宋"/>
          <w:color w:val="auto"/>
          <w:sz w:val="28"/>
          <w:szCs w:val="28"/>
          <w:highlight w:val="none"/>
          <w:lang w:eastAsia="zh-CN"/>
        </w:rPr>
        <w:t>发包文件</w:t>
      </w:r>
      <w:r>
        <w:rPr>
          <w:rFonts w:hint="eastAsia" w:ascii="仿宋" w:hAnsi="仿宋" w:eastAsia="仿宋" w:cs="仿宋"/>
          <w:color w:val="auto"/>
          <w:sz w:val="28"/>
          <w:szCs w:val="28"/>
          <w:highlight w:val="none"/>
        </w:rPr>
        <w:t>规定的各项要求，向</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提供所需的服务。</w:t>
      </w:r>
    </w:p>
    <w:p w14:paraId="0C36A678">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3、一旦我方</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，我方将严格履行合同规定的责任和义务，保证于</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要求的日期内完成项目</w:t>
      </w:r>
      <w:r>
        <w:rPr>
          <w:rFonts w:hint="eastAsia" w:ascii="仿宋" w:hAnsi="仿宋" w:eastAsia="仿宋" w:cs="仿宋"/>
          <w:color w:val="auto"/>
          <w:sz w:val="28"/>
          <w:szCs w:val="28"/>
          <w:highlight w:val="none"/>
          <w:lang w:eastAsia="zh-CN"/>
        </w:rPr>
        <w:t>的全部内容</w:t>
      </w:r>
      <w:r>
        <w:rPr>
          <w:rFonts w:hint="eastAsia" w:ascii="仿宋" w:hAnsi="仿宋" w:eastAsia="仿宋" w:cs="仿宋"/>
          <w:color w:val="auto"/>
          <w:sz w:val="28"/>
          <w:szCs w:val="28"/>
          <w:highlight w:val="none"/>
        </w:rPr>
        <w:t>，并交付</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验收、使用。</w:t>
      </w:r>
    </w:p>
    <w:p w14:paraId="0DE16C77">
      <w:pPr>
        <w:pageBreakBefore w:val="0"/>
        <w:tabs>
          <w:tab w:val="left" w:pos="840"/>
        </w:tabs>
        <w:kinsoku/>
        <w:overflowPunct/>
        <w:topLinePunct w:val="0"/>
        <w:bidi w:val="0"/>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、我方愿意提供贵</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可能另外要求的、与</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有关的文件资料，并保证我方已提供和将要提供的文件是真实的、准确的。</w:t>
      </w:r>
    </w:p>
    <w:p w14:paraId="6FA81138">
      <w:pPr>
        <w:pageBreakBefore w:val="0"/>
        <w:tabs>
          <w:tab w:val="left" w:pos="0"/>
          <w:tab w:val="left" w:pos="840"/>
        </w:tabs>
        <w:kinsoku/>
        <w:overflowPunct/>
        <w:topLinePunct w:val="0"/>
        <w:bidi w:val="0"/>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、我方完全理解贵</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不一定将合同授予最低报价的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p>
    <w:p w14:paraId="2B1F95A2">
      <w:pPr>
        <w:pageBreakBefore w:val="0"/>
        <w:tabs>
          <w:tab w:val="left" w:pos="0"/>
          <w:tab w:val="left" w:pos="840"/>
        </w:tabs>
        <w:kinsoku/>
        <w:overflowPunct/>
        <w:topLinePunct w:val="0"/>
        <w:bidi w:val="0"/>
        <w:spacing w:line="360" w:lineRule="auto"/>
        <w:ind w:left="0" w:leftChars="0" w:firstLine="560" w:firstLineChars="200"/>
        <w:jc w:val="left"/>
        <w:rPr>
          <w:rFonts w:hint="eastAsia" w:ascii="仿宋" w:hAnsi="仿宋" w:eastAsia="仿宋" w:cs="仿宋"/>
          <w:color w:val="auto"/>
          <w:sz w:val="28"/>
          <w:szCs w:val="28"/>
          <w:highlight w:val="none"/>
        </w:rPr>
      </w:pPr>
    </w:p>
    <w:p w14:paraId="55FF2AC2">
      <w:pPr>
        <w:pageBreakBefore w:val="0"/>
        <w:tabs>
          <w:tab w:val="left" w:pos="0"/>
          <w:tab w:val="left" w:pos="840"/>
        </w:tabs>
        <w:kinsoku/>
        <w:overflowPunct/>
        <w:topLinePunct w:val="0"/>
        <w:bidi w:val="0"/>
        <w:ind w:left="0" w:leftChars="0" w:firstLine="560" w:firstLineChars="200"/>
        <w:rPr>
          <w:rFonts w:hint="eastAsia" w:ascii="仿宋" w:hAnsi="仿宋" w:eastAsia="仿宋" w:cs="仿宋"/>
          <w:color w:val="auto"/>
          <w:sz w:val="28"/>
          <w:szCs w:val="28"/>
          <w:highlight w:val="none"/>
        </w:rPr>
      </w:pPr>
    </w:p>
    <w:p w14:paraId="13A08664">
      <w:pPr>
        <w:pageBreakBefore w:val="0"/>
        <w:kinsoku/>
        <w:overflowPunct/>
        <w:topLinePunct w:val="0"/>
        <w:bidi w:val="0"/>
        <w:spacing w:line="360" w:lineRule="auto"/>
        <w:ind w:left="0" w:leftChars="0"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3FA05FF8">
      <w:pPr>
        <w:pageBreakBefore w:val="0"/>
        <w:tabs>
          <w:tab w:val="left" w:pos="630"/>
        </w:tabs>
        <w:kinsoku/>
        <w:overflowPunct/>
        <w:topLinePunct w:val="0"/>
        <w:bidi w:val="0"/>
        <w:spacing w:line="360" w:lineRule="auto"/>
        <w:ind w:left="0" w:lef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日期：</w:t>
      </w:r>
    </w:p>
    <w:p w14:paraId="11AC2A56">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bookmarkStart w:id="118" w:name="_Toc18090"/>
      <w:bookmarkStart w:id="119" w:name="_Toc7378"/>
      <w:bookmarkStart w:id="120" w:name="_Toc30354"/>
      <w:bookmarkStart w:id="121" w:name="_Toc14690"/>
      <w:bookmarkStart w:id="122" w:name="_Toc26168"/>
      <w:bookmarkStart w:id="123" w:name="_Toc21593"/>
      <w:r>
        <w:rPr>
          <w:rFonts w:hint="eastAsia" w:ascii="仿宋" w:hAnsi="仿宋" w:eastAsia="仿宋" w:cs="仿宋"/>
          <w:color w:val="auto"/>
          <w:sz w:val="28"/>
          <w:szCs w:val="28"/>
          <w:highlight w:val="none"/>
        </w:rPr>
        <w:t>附件</w:t>
      </w:r>
      <w:bookmarkEnd w:id="117"/>
      <w:r>
        <w:rPr>
          <w:rFonts w:hint="eastAsia" w:ascii="仿宋" w:hAnsi="仿宋" w:eastAsia="仿宋" w:cs="仿宋"/>
          <w:color w:val="auto"/>
          <w:sz w:val="28"/>
          <w:szCs w:val="28"/>
          <w:highlight w:val="none"/>
        </w:rPr>
        <w:t>五</w:t>
      </w:r>
      <w:bookmarkEnd w:id="118"/>
      <w:bookmarkEnd w:id="119"/>
      <w:bookmarkEnd w:id="120"/>
      <w:bookmarkEnd w:id="121"/>
      <w:bookmarkEnd w:id="122"/>
      <w:bookmarkEnd w:id="123"/>
    </w:p>
    <w:p w14:paraId="7A89FFC7">
      <w:pPr>
        <w:pStyle w:val="4"/>
        <w:keepNext/>
        <w:keepLines/>
        <w:pageBreakBefore w:val="0"/>
        <w:widowControl w:val="0"/>
        <w:kinsoku/>
        <w:wordWrap/>
        <w:overflowPunct/>
        <w:topLinePunct w:val="0"/>
        <w:autoSpaceDE/>
        <w:autoSpaceDN/>
        <w:bidi w:val="0"/>
        <w:adjustRightInd w:val="0"/>
        <w:snapToGrid/>
        <w:spacing w:before="0" w:after="0" w:line="480" w:lineRule="exact"/>
        <w:ind w:left="0" w:leftChars="0" w:firstLine="562" w:firstLineChars="200"/>
        <w:jc w:val="center"/>
        <w:textAlignment w:val="baseline"/>
        <w:outlineLvl w:val="0"/>
        <w:rPr>
          <w:rFonts w:hint="eastAsia" w:ascii="仿宋" w:hAnsi="仿宋" w:eastAsia="仿宋" w:cs="仿宋"/>
          <w:color w:val="auto"/>
          <w:sz w:val="28"/>
          <w:szCs w:val="28"/>
          <w:highlight w:val="none"/>
          <w:lang w:val="zh-CN"/>
        </w:rPr>
      </w:pPr>
      <w:bookmarkStart w:id="124" w:name="_Toc10256"/>
      <w:bookmarkStart w:id="125" w:name="_Toc26949"/>
      <w:bookmarkStart w:id="126" w:name="_Toc166"/>
      <w:bookmarkStart w:id="127" w:name="_Toc4878"/>
      <w:bookmarkStart w:id="128" w:name="_Toc5364"/>
      <w:r>
        <w:rPr>
          <w:rFonts w:hint="eastAsia" w:ascii="仿宋" w:hAnsi="仿宋" w:eastAsia="仿宋" w:cs="仿宋"/>
          <w:color w:val="auto"/>
          <w:sz w:val="28"/>
          <w:szCs w:val="28"/>
          <w:highlight w:val="none"/>
          <w:lang w:val="zh-CN"/>
        </w:rPr>
        <w:t>无重大违法记录声明函</w:t>
      </w:r>
      <w:bookmarkEnd w:id="124"/>
      <w:bookmarkEnd w:id="125"/>
      <w:bookmarkEnd w:id="126"/>
      <w:bookmarkEnd w:id="127"/>
      <w:bookmarkEnd w:id="128"/>
    </w:p>
    <w:p w14:paraId="15B6EEE8">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B49EED8">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14:paraId="7E3A7423">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p>
    <w:p w14:paraId="33258DC1">
      <w:pPr>
        <w:pageBreakBefore w:val="0"/>
        <w:widowControl w:val="0"/>
        <w:tabs>
          <w:tab w:val="left" w:pos="630"/>
        </w:tabs>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p>
    <w:p w14:paraId="65A0F128">
      <w:pPr>
        <w:pageBreakBefore w:val="0"/>
        <w:widowControl w:val="0"/>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3F295ECB">
      <w:pPr>
        <w:pageBreakBefore w:val="0"/>
        <w:widowControl w:val="0"/>
        <w:tabs>
          <w:tab w:val="left" w:pos="630"/>
        </w:tabs>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rPr>
        <w:t>日期：</w:t>
      </w:r>
    </w:p>
    <w:p w14:paraId="3A7ED019">
      <w:pPr>
        <w:pageBreakBefore w:val="0"/>
        <w:widowControl w:val="0"/>
        <w:tabs>
          <w:tab w:val="left" w:pos="630"/>
        </w:tabs>
        <w:kinsoku/>
        <w:wordWrap/>
        <w:overflowPunct/>
        <w:topLinePunct w:val="0"/>
        <w:autoSpaceDE/>
        <w:autoSpaceDN/>
        <w:bidi w:val="0"/>
        <w:snapToGrid/>
        <w:spacing w:line="480" w:lineRule="exact"/>
        <w:ind w:left="0" w:leftChars="0" w:firstLine="562" w:firstLineChars="200"/>
        <w:rPr>
          <w:rFonts w:hint="eastAsia" w:ascii="仿宋" w:hAnsi="仿宋" w:eastAsia="仿宋" w:cs="仿宋"/>
          <w:b/>
          <w:color w:val="auto"/>
          <w:sz w:val="28"/>
          <w:szCs w:val="28"/>
          <w:highlight w:val="none"/>
          <w:lang w:val="zh-CN"/>
        </w:rPr>
      </w:pPr>
    </w:p>
    <w:p w14:paraId="1160F23F">
      <w:pPr>
        <w:keepNext w:val="0"/>
        <w:keepLines w:val="0"/>
        <w:pageBreakBefore w:val="0"/>
        <w:widowControl w:val="0"/>
        <w:tabs>
          <w:tab w:val="left" w:pos="630"/>
        </w:tabs>
        <w:kinsoku/>
        <w:wordWrap/>
        <w:overflowPunct/>
        <w:topLinePunct w:val="0"/>
        <w:autoSpaceDE/>
        <w:autoSpaceDN/>
        <w:bidi w:val="0"/>
        <w:adjustRightInd/>
        <w:snapToGrid/>
        <w:spacing w:after="157" w:afterLines="50" w:line="480" w:lineRule="exact"/>
        <w:ind w:left="0" w:leftChars="0" w:firstLine="562" w:firstLineChars="200"/>
        <w:jc w:val="center"/>
        <w:textAlignment w:val="auto"/>
        <w:outlineLvl w:val="0"/>
        <w:rPr>
          <w:rFonts w:hint="eastAsia" w:ascii="仿宋" w:hAnsi="仿宋" w:eastAsia="仿宋" w:cs="仿宋"/>
          <w:color w:val="auto"/>
          <w:sz w:val="28"/>
          <w:szCs w:val="28"/>
          <w:highlight w:val="none"/>
        </w:rPr>
      </w:pPr>
      <w:bookmarkStart w:id="129" w:name="_Toc15275"/>
      <w:bookmarkStart w:id="130" w:name="_Toc214"/>
      <w:bookmarkStart w:id="131" w:name="_Toc9285"/>
      <w:r>
        <w:rPr>
          <w:rFonts w:hint="eastAsia" w:ascii="仿宋" w:hAnsi="仿宋" w:eastAsia="仿宋" w:cs="仿宋"/>
          <w:b/>
          <w:color w:val="auto"/>
          <w:sz w:val="28"/>
          <w:szCs w:val="28"/>
          <w:highlight w:val="none"/>
          <w:lang w:val="zh-CN"/>
        </w:rPr>
        <w:t>无不良信用记录承诺函</w:t>
      </w:r>
      <w:bookmarkEnd w:id="129"/>
      <w:bookmarkEnd w:id="130"/>
      <w:bookmarkEnd w:id="131"/>
    </w:p>
    <w:p w14:paraId="634CCB28">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本公司郑重承诺，我公司无以下不良信用记录情形：</w:t>
      </w:r>
    </w:p>
    <w:p w14:paraId="350D37EC">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1、公司被人民法院列入失信被执行人；</w:t>
      </w:r>
    </w:p>
    <w:p w14:paraId="0607437B">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2、公司被</w:t>
      </w:r>
      <w:r>
        <w:rPr>
          <w:rFonts w:hint="eastAsia" w:ascii="仿宋" w:hAnsi="仿宋" w:eastAsia="仿宋" w:cs="仿宋"/>
          <w:color w:val="auto"/>
          <w:sz w:val="28"/>
          <w:szCs w:val="28"/>
          <w:highlight w:val="none"/>
          <w:lang w:eastAsia="zh-CN"/>
        </w:rPr>
        <w:t>市场监督管理部门</w:t>
      </w:r>
      <w:r>
        <w:rPr>
          <w:rFonts w:hint="eastAsia" w:ascii="仿宋" w:hAnsi="仿宋" w:eastAsia="仿宋" w:cs="仿宋"/>
          <w:color w:val="auto"/>
          <w:sz w:val="28"/>
          <w:szCs w:val="28"/>
          <w:highlight w:val="none"/>
        </w:rPr>
        <w:t>列入企业经营异常名录；</w:t>
      </w:r>
    </w:p>
    <w:p w14:paraId="32127E5B">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、公司被税务部门列入重大税收违法案件当事人名单的；</w:t>
      </w:r>
    </w:p>
    <w:p w14:paraId="5DC4C6EE">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、公司被政府采购监管部门列入政府采购严重违法失信行为记录名单。</w:t>
      </w:r>
    </w:p>
    <w:p w14:paraId="50AC6928">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 xml:space="preserve">我公司承诺：合同签订前，若我公司具有不良信用记录情形，贵方可取消我公司成交资格或者不授予合同，所有责任由我公司自行承担。同时，我公司愿意无条件接受监管部门的调查处理。 </w:t>
      </w:r>
    </w:p>
    <w:p w14:paraId="11196097">
      <w:pPr>
        <w:pageBreakBefore w:val="0"/>
        <w:widowControl w:val="0"/>
        <w:tabs>
          <w:tab w:val="left" w:pos="630"/>
        </w:tabs>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p>
    <w:p w14:paraId="50B727CA">
      <w:pPr>
        <w:pageBreakBefore w:val="0"/>
        <w:widowControl w:val="0"/>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52F3630E">
      <w:pPr>
        <w:pageBreakBefore w:val="0"/>
        <w:widowControl w:val="0"/>
        <w:tabs>
          <w:tab w:val="left" w:pos="630"/>
        </w:tabs>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日期：</w:t>
      </w:r>
      <w:bookmarkStart w:id="132" w:name="_Toc363199274"/>
    </w:p>
    <w:p w14:paraId="7207967F">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33" w:name="_Toc20743"/>
      <w:bookmarkStart w:id="134" w:name="_Toc16660"/>
      <w:bookmarkStart w:id="135" w:name="_Toc12443"/>
      <w:bookmarkStart w:id="136" w:name="_Toc18709"/>
      <w:bookmarkStart w:id="137" w:name="_Toc24863"/>
      <w:bookmarkStart w:id="138" w:name="_Toc16532"/>
      <w:r>
        <w:rPr>
          <w:rFonts w:hint="eastAsia" w:ascii="仿宋" w:hAnsi="仿宋" w:eastAsia="仿宋" w:cs="仿宋"/>
          <w:color w:val="auto"/>
          <w:sz w:val="28"/>
          <w:szCs w:val="28"/>
          <w:highlight w:val="none"/>
        </w:rPr>
        <w:t>附件</w:t>
      </w:r>
      <w:bookmarkEnd w:id="132"/>
      <w:r>
        <w:rPr>
          <w:rFonts w:hint="eastAsia" w:ascii="仿宋" w:hAnsi="仿宋" w:eastAsia="仿宋" w:cs="仿宋"/>
          <w:color w:val="auto"/>
          <w:sz w:val="28"/>
          <w:szCs w:val="28"/>
          <w:highlight w:val="none"/>
        </w:rPr>
        <w:t>六</w:t>
      </w:r>
      <w:bookmarkEnd w:id="133"/>
      <w:bookmarkEnd w:id="134"/>
      <w:bookmarkEnd w:id="135"/>
      <w:bookmarkEnd w:id="136"/>
      <w:bookmarkEnd w:id="137"/>
      <w:bookmarkEnd w:id="138"/>
    </w:p>
    <w:p w14:paraId="64706E61">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center"/>
        <w:textAlignment w:val="baseline"/>
        <w:outlineLvl w:val="0"/>
        <w:rPr>
          <w:rFonts w:hint="eastAsia" w:ascii="仿宋" w:hAnsi="仿宋" w:eastAsia="仿宋" w:cs="仿宋"/>
          <w:color w:val="auto"/>
          <w:sz w:val="28"/>
          <w:szCs w:val="28"/>
          <w:highlight w:val="none"/>
          <w:lang w:val="zh-CN"/>
        </w:rPr>
      </w:pPr>
      <w:bookmarkStart w:id="139" w:name="_Toc30075"/>
      <w:bookmarkStart w:id="140" w:name="_Toc25238"/>
      <w:bookmarkStart w:id="141" w:name="_Toc28646"/>
      <w:bookmarkStart w:id="142" w:name="_Toc14291"/>
      <w:bookmarkStart w:id="143" w:name="_Toc5006"/>
      <w:r>
        <w:rPr>
          <w:rFonts w:hint="eastAsia" w:ascii="仿宋" w:hAnsi="仿宋" w:eastAsia="仿宋" w:cs="仿宋"/>
          <w:color w:val="auto"/>
          <w:sz w:val="28"/>
          <w:szCs w:val="28"/>
          <w:highlight w:val="none"/>
          <w:lang w:val="zh-CN"/>
        </w:rPr>
        <w:t>响应情况表</w:t>
      </w:r>
      <w:bookmarkEnd w:id="139"/>
      <w:bookmarkEnd w:id="140"/>
      <w:bookmarkEnd w:id="141"/>
      <w:bookmarkEnd w:id="142"/>
      <w:bookmarkEnd w:id="143"/>
    </w:p>
    <w:p w14:paraId="77EA6A75">
      <w:pPr>
        <w:pageBreakBefore w:val="0"/>
        <w:kinsoku/>
        <w:overflowPunct/>
        <w:topLinePunct w:val="0"/>
        <w:bidi w:val="0"/>
        <w:ind w:left="0" w:leftChars="0" w:firstLine="560" w:firstLineChars="200"/>
        <w:jc w:val="center"/>
        <w:rPr>
          <w:rFonts w:hint="eastAsia" w:ascii="仿宋" w:hAnsi="仿宋" w:eastAsia="仿宋" w:cs="仿宋"/>
          <w:bCs/>
          <w:color w:val="auto"/>
          <w:sz w:val="28"/>
          <w:szCs w:val="28"/>
          <w:highlight w:val="none"/>
          <w:lang w:val="zh-CN"/>
        </w:rPr>
      </w:pPr>
    </w:p>
    <w:tbl>
      <w:tblPr>
        <w:tblStyle w:val="3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5899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14:paraId="51F38F7F">
            <w:pPr>
              <w:pageBreakBefore w:val="0"/>
              <w:kinsoku/>
              <w:overflowPunct/>
              <w:topLinePunct w:val="0"/>
              <w:bidi w:val="0"/>
              <w:ind w:left="0" w:leftChars="0" w:firstLine="562" w:firstLineChars="200"/>
              <w:jc w:val="center"/>
              <w:rPr>
                <w:rFonts w:hint="eastAsia" w:ascii="仿宋" w:hAnsi="仿宋" w:eastAsia="仿宋" w:cs="仿宋"/>
                <w:b/>
                <w:color w:val="auto"/>
                <w:sz w:val="28"/>
                <w:szCs w:val="28"/>
                <w:highlight w:val="none"/>
              </w:rPr>
            </w:pPr>
            <w:bookmarkStart w:id="144" w:name="_Toc471299110"/>
            <w:r>
              <w:rPr>
                <w:rFonts w:hint="eastAsia" w:ascii="仿宋" w:hAnsi="仿宋" w:eastAsia="仿宋" w:cs="仿宋"/>
                <w:b/>
                <w:color w:val="auto"/>
                <w:sz w:val="28"/>
                <w:szCs w:val="28"/>
                <w:highlight w:val="none"/>
              </w:rPr>
              <w:t>按</w:t>
            </w:r>
            <w:r>
              <w:rPr>
                <w:rFonts w:hint="eastAsia" w:ascii="仿宋" w:hAnsi="仿宋" w:eastAsia="仿宋" w:cs="仿宋"/>
                <w:b/>
                <w:color w:val="auto"/>
                <w:sz w:val="28"/>
                <w:szCs w:val="28"/>
                <w:highlight w:val="none"/>
                <w:lang w:val="en-US" w:eastAsia="zh-CN"/>
              </w:rPr>
              <w:t>发包文件</w:t>
            </w:r>
            <w:r>
              <w:rPr>
                <w:rFonts w:hint="eastAsia" w:ascii="仿宋" w:hAnsi="仿宋" w:eastAsia="仿宋" w:cs="仿宋"/>
                <w:b/>
                <w:color w:val="auto"/>
                <w:sz w:val="28"/>
                <w:szCs w:val="28"/>
                <w:highlight w:val="none"/>
              </w:rPr>
              <w:t>规定填写</w:t>
            </w:r>
          </w:p>
        </w:tc>
        <w:tc>
          <w:tcPr>
            <w:tcW w:w="4200" w:type="dxa"/>
            <w:gridSpan w:val="2"/>
            <w:noWrap w:val="0"/>
            <w:vAlign w:val="center"/>
          </w:tcPr>
          <w:p w14:paraId="2AC136C4">
            <w:pPr>
              <w:pageBreakBefore w:val="0"/>
              <w:kinsoku/>
              <w:overflowPunct/>
              <w:topLinePunct w:val="0"/>
              <w:bidi w:val="0"/>
              <w:ind w:left="0" w:leftChars="0" w:firstLine="562" w:firstLineChars="20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按供应商所投内容填写</w:t>
            </w:r>
          </w:p>
        </w:tc>
      </w:tr>
      <w:tr w14:paraId="5746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14:paraId="36696560">
            <w:pPr>
              <w:pageBreakBefore w:val="0"/>
              <w:kinsoku/>
              <w:overflowPunct/>
              <w:topLinePunct w:val="0"/>
              <w:bidi w:val="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794" w:type="dxa"/>
            <w:noWrap w:val="0"/>
            <w:vAlign w:val="center"/>
          </w:tcPr>
          <w:p w14:paraId="2EDB666A">
            <w:pPr>
              <w:pageBreakBefore w:val="0"/>
              <w:kinsoku/>
              <w:overflowPunct/>
              <w:topLinePunct w:val="0"/>
              <w:bidi w:val="0"/>
              <w:ind w:left="0" w:leftChars="0" w:firstLine="562" w:firstLineChars="20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内容</w:t>
            </w:r>
          </w:p>
        </w:tc>
        <w:tc>
          <w:tcPr>
            <w:tcW w:w="2196" w:type="dxa"/>
            <w:noWrap w:val="0"/>
            <w:vAlign w:val="center"/>
          </w:tcPr>
          <w:p w14:paraId="64FCBCE3">
            <w:pPr>
              <w:pageBreakBefore w:val="0"/>
              <w:kinsoku/>
              <w:overflowPunct/>
              <w:topLinePunct w:val="0"/>
              <w:bidi w:val="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发包文件</w:t>
            </w:r>
            <w:r>
              <w:rPr>
                <w:rFonts w:hint="eastAsia" w:ascii="仿宋" w:hAnsi="仿宋" w:eastAsia="仿宋" w:cs="仿宋"/>
                <w:b/>
                <w:color w:val="auto"/>
                <w:sz w:val="28"/>
                <w:szCs w:val="28"/>
                <w:highlight w:val="none"/>
              </w:rPr>
              <w:t>要求</w:t>
            </w:r>
          </w:p>
        </w:tc>
        <w:tc>
          <w:tcPr>
            <w:tcW w:w="2222" w:type="dxa"/>
            <w:noWrap w:val="0"/>
            <w:vAlign w:val="center"/>
          </w:tcPr>
          <w:p w14:paraId="1238D27C">
            <w:pPr>
              <w:pageBreakBefore w:val="0"/>
              <w:kinsoku/>
              <w:overflowPunct/>
              <w:topLinePunct w:val="0"/>
              <w:bidi w:val="0"/>
              <w:ind w:left="0" w:leftChars="0" w:firstLine="562" w:firstLineChars="20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响应承诺</w:t>
            </w:r>
          </w:p>
        </w:tc>
        <w:tc>
          <w:tcPr>
            <w:tcW w:w="1978" w:type="dxa"/>
            <w:noWrap w:val="0"/>
            <w:vAlign w:val="center"/>
          </w:tcPr>
          <w:p w14:paraId="260FA527">
            <w:pPr>
              <w:pageBreakBefore w:val="0"/>
              <w:kinsoku/>
              <w:overflowPunct/>
              <w:topLinePunct w:val="0"/>
              <w:bidi w:val="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偏离说明</w:t>
            </w:r>
          </w:p>
        </w:tc>
      </w:tr>
      <w:tr w14:paraId="6F4F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2E4533C0">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794" w:type="dxa"/>
            <w:noWrap w:val="0"/>
            <w:vAlign w:val="center"/>
          </w:tcPr>
          <w:p w14:paraId="10D2DDE4">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技术响应</w:t>
            </w:r>
          </w:p>
        </w:tc>
        <w:tc>
          <w:tcPr>
            <w:tcW w:w="2196" w:type="dxa"/>
            <w:noWrap w:val="0"/>
            <w:vAlign w:val="center"/>
          </w:tcPr>
          <w:p w14:paraId="73F9F1F1">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2222" w:type="dxa"/>
            <w:noWrap w:val="0"/>
            <w:vAlign w:val="center"/>
          </w:tcPr>
          <w:p w14:paraId="7C022A62">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1978" w:type="dxa"/>
            <w:noWrap w:val="0"/>
            <w:vAlign w:val="center"/>
          </w:tcPr>
          <w:p w14:paraId="46A0E163">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r>
      <w:tr w14:paraId="0EDC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140FC4CC">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794" w:type="dxa"/>
            <w:noWrap w:val="0"/>
            <w:vAlign w:val="center"/>
          </w:tcPr>
          <w:p w14:paraId="57FB61C5">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付款响应</w:t>
            </w:r>
          </w:p>
        </w:tc>
        <w:tc>
          <w:tcPr>
            <w:tcW w:w="2196" w:type="dxa"/>
            <w:noWrap w:val="0"/>
            <w:vAlign w:val="center"/>
          </w:tcPr>
          <w:p w14:paraId="585AD5B7">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2222" w:type="dxa"/>
            <w:noWrap w:val="0"/>
            <w:vAlign w:val="center"/>
          </w:tcPr>
          <w:p w14:paraId="58E860DD">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1978" w:type="dxa"/>
            <w:noWrap w:val="0"/>
            <w:vAlign w:val="center"/>
          </w:tcPr>
          <w:p w14:paraId="01805C5E">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r>
      <w:tr w14:paraId="51E2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35007C14">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794" w:type="dxa"/>
            <w:noWrap w:val="0"/>
            <w:vAlign w:val="center"/>
          </w:tcPr>
          <w:p w14:paraId="4A36C1C7">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服务期响应</w:t>
            </w:r>
          </w:p>
        </w:tc>
        <w:tc>
          <w:tcPr>
            <w:tcW w:w="2196" w:type="dxa"/>
            <w:noWrap w:val="0"/>
            <w:vAlign w:val="center"/>
          </w:tcPr>
          <w:p w14:paraId="5664795D">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2222" w:type="dxa"/>
            <w:noWrap w:val="0"/>
            <w:vAlign w:val="center"/>
          </w:tcPr>
          <w:p w14:paraId="2D820E54">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1978" w:type="dxa"/>
            <w:noWrap w:val="0"/>
            <w:vAlign w:val="center"/>
          </w:tcPr>
          <w:p w14:paraId="67832EFB">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r>
      <w:tr w14:paraId="1A48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5A690F4F">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794" w:type="dxa"/>
            <w:noWrap w:val="0"/>
            <w:vAlign w:val="center"/>
          </w:tcPr>
          <w:p w14:paraId="3231D252">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2196" w:type="dxa"/>
            <w:noWrap w:val="0"/>
            <w:vAlign w:val="center"/>
          </w:tcPr>
          <w:p w14:paraId="7F6078E4">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2222" w:type="dxa"/>
            <w:noWrap w:val="0"/>
            <w:vAlign w:val="center"/>
          </w:tcPr>
          <w:p w14:paraId="0C8C3933">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1978" w:type="dxa"/>
            <w:noWrap w:val="0"/>
            <w:vAlign w:val="center"/>
          </w:tcPr>
          <w:p w14:paraId="1C015ECB">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r>
    </w:tbl>
    <w:p w14:paraId="5729AD5C">
      <w:pPr>
        <w:pageBreakBefore w:val="0"/>
        <w:kinsoku/>
        <w:overflowPunct/>
        <w:topLinePunct w:val="0"/>
        <w:bidi w:val="0"/>
        <w:snapToGrid w:val="0"/>
        <w:spacing w:line="360" w:lineRule="auto"/>
        <w:ind w:left="0" w:leftChars="0" w:firstLine="560" w:firstLineChars="200"/>
        <w:rPr>
          <w:rFonts w:hint="eastAsia" w:ascii="仿宋" w:hAnsi="仿宋" w:eastAsia="仿宋" w:cs="仿宋"/>
          <w:color w:val="auto"/>
          <w:sz w:val="28"/>
          <w:szCs w:val="28"/>
          <w:highlight w:val="none"/>
        </w:rPr>
      </w:pPr>
    </w:p>
    <w:p w14:paraId="35995FF2">
      <w:pPr>
        <w:keepNext w:val="0"/>
        <w:keepLines w:val="0"/>
        <w:pageBreakBefore w:val="0"/>
        <w:widowControl w:val="0"/>
        <w:kinsoku/>
        <w:wordWrap/>
        <w:overflowPunct/>
        <w:topLinePunct w:val="0"/>
        <w:autoSpaceDE/>
        <w:autoSpaceDN/>
        <w:bidi w:val="0"/>
        <w:snapToGrid w:val="0"/>
        <w:spacing w:line="460" w:lineRule="exact"/>
        <w:ind w:left="0" w:leftChars="0" w:firstLine="562" w:firstLineChars="200"/>
        <w:textAlignment w:val="auto"/>
        <w:rPr>
          <w:rFonts w:hint="eastAsia" w:ascii="仿宋" w:hAnsi="仿宋" w:eastAsia="仿宋" w:cs="仿宋"/>
          <w:b/>
          <w:bCs/>
          <w:color w:val="auto"/>
          <w:sz w:val="28"/>
          <w:szCs w:val="28"/>
          <w:highlight w:val="none"/>
        </w:rPr>
      </w:pPr>
    </w:p>
    <w:p w14:paraId="73293B97">
      <w:pPr>
        <w:keepNext w:val="0"/>
        <w:keepLines w:val="0"/>
        <w:pageBreakBefore w:val="0"/>
        <w:widowControl w:val="0"/>
        <w:kinsoku/>
        <w:wordWrap/>
        <w:overflowPunct/>
        <w:topLinePunct w:val="0"/>
        <w:autoSpaceDE/>
        <w:autoSpaceDN/>
        <w:bidi w:val="0"/>
        <w:snapToGrid w:val="0"/>
        <w:spacing w:line="46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1CB7167A">
      <w:pPr>
        <w:keepNext w:val="0"/>
        <w:keepLines w:val="0"/>
        <w:pageBreakBefore w:val="0"/>
        <w:widowControl w:val="0"/>
        <w:kinsoku/>
        <w:wordWrap/>
        <w:overflowPunct/>
        <w:topLinePunct w:val="0"/>
        <w:autoSpaceDE/>
        <w:autoSpaceDN/>
        <w:bidi w:val="0"/>
        <w:spacing w:line="460" w:lineRule="exact"/>
        <w:ind w:left="0" w:leftChars="0" w:firstLine="562"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 xml:space="preserve">日期：   </w:t>
      </w:r>
      <w:r>
        <w:rPr>
          <w:rFonts w:hint="eastAsia" w:ascii="仿宋" w:hAnsi="仿宋" w:eastAsia="仿宋" w:cs="仿宋"/>
          <w:b/>
          <w:bCs/>
          <w:color w:val="auto"/>
          <w:sz w:val="28"/>
          <w:szCs w:val="28"/>
          <w:highlight w:val="none"/>
        </w:rPr>
        <w:t xml:space="preserve">年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日</w:t>
      </w:r>
    </w:p>
    <w:p w14:paraId="4DFAB8A5">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highlight w:val="none"/>
        </w:rPr>
      </w:pPr>
    </w:p>
    <w:p w14:paraId="7F542319">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w:t>
      </w:r>
      <w:bookmarkStart w:id="145" w:name="_Toc13408"/>
      <w:r>
        <w:rPr>
          <w:rFonts w:hint="eastAsia" w:ascii="仿宋" w:hAnsi="仿宋" w:eastAsia="仿宋" w:cs="仿宋"/>
          <w:color w:val="auto"/>
          <w:sz w:val="28"/>
          <w:szCs w:val="28"/>
          <w:highlight w:val="none"/>
        </w:rPr>
        <w:t>提供的服务满足采购需求；付款</w:t>
      </w:r>
      <w:r>
        <w:rPr>
          <w:rFonts w:hint="eastAsia" w:ascii="仿宋" w:hAnsi="仿宋" w:eastAsia="仿宋" w:cs="仿宋"/>
          <w:color w:val="auto"/>
          <w:sz w:val="28"/>
          <w:szCs w:val="28"/>
          <w:highlight w:val="none"/>
          <w:lang w:val="en-US" w:eastAsia="zh-CN"/>
        </w:rPr>
        <w:t>及服务</w:t>
      </w:r>
      <w:r>
        <w:rPr>
          <w:rFonts w:hint="eastAsia" w:ascii="仿宋" w:hAnsi="仿宋" w:eastAsia="仿宋" w:cs="仿宋"/>
          <w:color w:val="auto"/>
          <w:sz w:val="28"/>
          <w:szCs w:val="28"/>
          <w:highlight w:val="none"/>
        </w:rPr>
        <w:t>期等均应响应</w:t>
      </w:r>
      <w:r>
        <w:rPr>
          <w:rFonts w:hint="eastAsia" w:ascii="仿宋" w:hAnsi="仿宋" w:eastAsia="仿宋" w:cs="仿宋"/>
          <w:color w:val="auto"/>
          <w:sz w:val="28"/>
          <w:szCs w:val="28"/>
          <w:highlight w:val="none"/>
          <w:lang w:val="en-US" w:eastAsia="zh-CN"/>
        </w:rPr>
        <w:t>发包文件</w:t>
      </w:r>
      <w:r>
        <w:rPr>
          <w:rFonts w:hint="eastAsia" w:ascii="仿宋" w:hAnsi="仿宋" w:eastAsia="仿宋" w:cs="仿宋"/>
          <w:color w:val="auto"/>
          <w:sz w:val="28"/>
          <w:szCs w:val="28"/>
          <w:highlight w:val="none"/>
        </w:rPr>
        <w:t>要求。</w:t>
      </w:r>
      <w:r>
        <w:rPr>
          <w:rFonts w:hint="eastAsia" w:ascii="仿宋" w:hAnsi="仿宋" w:eastAsia="仿宋" w:cs="仿宋"/>
          <w:bCs/>
          <w:color w:val="auto"/>
          <w:sz w:val="28"/>
          <w:szCs w:val="28"/>
          <w:highlight w:val="none"/>
        </w:rPr>
        <w:br w:type="page"/>
      </w:r>
      <w:bookmarkStart w:id="146" w:name="_Toc22037"/>
      <w:bookmarkStart w:id="147" w:name="_Toc29422"/>
      <w:r>
        <w:rPr>
          <w:rStyle w:val="52"/>
          <w:rFonts w:hint="eastAsia" w:ascii="仿宋" w:hAnsi="仿宋" w:eastAsia="仿宋" w:cs="仿宋"/>
          <w:color w:val="auto"/>
          <w:sz w:val="28"/>
          <w:szCs w:val="28"/>
          <w:highlight w:val="none"/>
          <w:lang w:val="en-US" w:eastAsia="zh-CN"/>
        </w:rPr>
        <w:t>附件</w:t>
      </w:r>
      <w:bookmarkEnd w:id="144"/>
      <w:r>
        <w:rPr>
          <w:rStyle w:val="52"/>
          <w:rFonts w:hint="eastAsia" w:ascii="仿宋" w:hAnsi="仿宋" w:eastAsia="仿宋" w:cs="仿宋"/>
          <w:color w:val="auto"/>
          <w:sz w:val="28"/>
          <w:szCs w:val="28"/>
          <w:highlight w:val="none"/>
          <w:lang w:val="en-US" w:eastAsia="zh-CN"/>
        </w:rPr>
        <w:t>七</w:t>
      </w:r>
      <w:bookmarkEnd w:id="145"/>
      <w:bookmarkEnd w:id="146"/>
      <w:bookmarkEnd w:id="147"/>
    </w:p>
    <w:p w14:paraId="399620BA">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center"/>
        <w:textAlignment w:val="baseline"/>
        <w:outlineLvl w:val="0"/>
        <w:rPr>
          <w:rFonts w:hint="eastAsia" w:ascii="仿宋" w:hAnsi="仿宋" w:eastAsia="仿宋" w:cs="仿宋"/>
          <w:color w:val="auto"/>
          <w:sz w:val="28"/>
          <w:szCs w:val="28"/>
          <w:highlight w:val="none"/>
        </w:rPr>
      </w:pPr>
      <w:bookmarkStart w:id="148" w:name="_Toc18625"/>
      <w:bookmarkStart w:id="149" w:name="_Toc32637"/>
      <w:bookmarkStart w:id="150" w:name="_Toc8801"/>
      <w:bookmarkStart w:id="151" w:name="_Toc7091"/>
      <w:bookmarkStart w:id="152" w:name="_Toc1624"/>
      <w:r>
        <w:rPr>
          <w:rFonts w:hint="eastAsia" w:ascii="仿宋" w:hAnsi="仿宋" w:eastAsia="仿宋" w:cs="仿宋"/>
          <w:color w:val="auto"/>
          <w:sz w:val="28"/>
          <w:szCs w:val="28"/>
          <w:highlight w:val="none"/>
        </w:rPr>
        <w:t>相关服务承诺函</w:t>
      </w:r>
      <w:bookmarkEnd w:id="148"/>
      <w:bookmarkEnd w:id="149"/>
      <w:bookmarkEnd w:id="150"/>
      <w:bookmarkEnd w:id="151"/>
      <w:bookmarkEnd w:id="152"/>
    </w:p>
    <w:p w14:paraId="0228B923">
      <w:pPr>
        <w:pageBreakBefore w:val="0"/>
        <w:kinsoku/>
        <w:overflowPunct/>
        <w:topLinePunct w:val="0"/>
        <w:bidi w:val="0"/>
        <w:ind w:left="0" w:leftChars="0" w:firstLine="560" w:firstLineChars="200"/>
        <w:jc w:val="center"/>
        <w:rPr>
          <w:rFonts w:hint="eastAsia" w:ascii="仿宋" w:hAnsi="仿宋" w:eastAsia="仿宋" w:cs="仿宋"/>
          <w:color w:val="auto"/>
          <w:sz w:val="28"/>
          <w:szCs w:val="28"/>
          <w:highlight w:val="none"/>
        </w:rPr>
      </w:pPr>
    </w:p>
    <w:p w14:paraId="60428B59">
      <w:pPr>
        <w:pageBreakBefore w:val="0"/>
        <w:kinsoku/>
        <w:overflowPunct/>
        <w:topLinePunct w:val="0"/>
        <w:bidi w:val="0"/>
        <w:ind w:left="0" w:lef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可自行制作格式)</w:t>
      </w:r>
    </w:p>
    <w:p w14:paraId="0473E9E5">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p w14:paraId="3E42190B">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p w14:paraId="643BF602">
      <w:pPr>
        <w:pageBreakBefore w:val="0"/>
        <w:kinsoku/>
        <w:overflowPunct/>
        <w:topLinePunct w:val="0"/>
        <w:bidi w:val="0"/>
        <w:ind w:left="0" w:leftChars="0" w:firstLine="560" w:firstLineChars="200"/>
        <w:jc w:val="both"/>
        <w:rPr>
          <w:rFonts w:hint="eastAsia" w:ascii="仿宋" w:hAnsi="仿宋" w:eastAsia="仿宋" w:cs="仿宋"/>
          <w:b/>
          <w:bCs/>
          <w:color w:val="auto"/>
          <w:sz w:val="28"/>
          <w:szCs w:val="28"/>
          <w:highlight w:val="none"/>
        </w:rPr>
      </w:pPr>
      <w:bookmarkStart w:id="153" w:name="_Toc27540"/>
      <w:bookmarkStart w:id="154" w:name="_Toc3177"/>
      <w:r>
        <w:rPr>
          <w:rFonts w:hint="eastAsia" w:ascii="仿宋" w:hAnsi="仿宋" w:eastAsia="仿宋" w:cs="仿宋"/>
          <w:color w:val="auto"/>
          <w:sz w:val="28"/>
          <w:szCs w:val="28"/>
          <w:highlight w:val="none"/>
          <w:lang w:eastAsia="zh-CN"/>
        </w:rPr>
        <w:br w:type="page"/>
      </w:r>
      <w:bookmarkEnd w:id="153"/>
      <w:bookmarkEnd w:id="154"/>
      <w:bookmarkStart w:id="155" w:name="_Toc10828"/>
    </w:p>
    <w:p w14:paraId="26D65F60">
      <w:pPr>
        <w:pageBreakBefore w:val="0"/>
        <w:kinsoku/>
        <w:overflowPunct/>
        <w:topLinePunct w:val="0"/>
        <w:bidi w:val="0"/>
        <w:ind w:left="0" w:leftChars="0" w:firstLine="562" w:firstLineChars="200"/>
        <w:jc w:val="both"/>
        <w:outlineLvl w:val="0"/>
        <w:rPr>
          <w:rStyle w:val="52"/>
          <w:rFonts w:hint="eastAsia" w:ascii="仿宋" w:hAnsi="仿宋" w:eastAsia="仿宋" w:cs="仿宋"/>
          <w:color w:val="auto"/>
          <w:sz w:val="28"/>
          <w:szCs w:val="28"/>
          <w:highlight w:val="none"/>
          <w:lang w:val="en-US" w:eastAsia="zh-CN"/>
        </w:rPr>
      </w:pPr>
      <w:bookmarkStart w:id="156" w:name="_Toc3162"/>
      <w:bookmarkStart w:id="157" w:name="_Toc2238"/>
      <w:bookmarkStart w:id="158" w:name="_Toc19831"/>
      <w:bookmarkStart w:id="159" w:name="_Toc25964"/>
      <w:bookmarkStart w:id="160" w:name="_Toc10878"/>
      <w:r>
        <w:rPr>
          <w:rStyle w:val="52"/>
          <w:rFonts w:hint="eastAsia" w:ascii="仿宋" w:hAnsi="仿宋" w:eastAsia="仿宋" w:cs="仿宋"/>
          <w:color w:val="auto"/>
          <w:sz w:val="28"/>
          <w:szCs w:val="28"/>
          <w:highlight w:val="none"/>
          <w:lang w:val="en-US" w:eastAsia="zh-CN"/>
        </w:rPr>
        <w:t>附件</w:t>
      </w:r>
      <w:bookmarkEnd w:id="155"/>
      <w:bookmarkEnd w:id="156"/>
      <w:bookmarkEnd w:id="157"/>
      <w:r>
        <w:rPr>
          <w:rStyle w:val="52"/>
          <w:rFonts w:hint="eastAsia" w:ascii="仿宋" w:hAnsi="仿宋" w:eastAsia="仿宋" w:cs="仿宋"/>
          <w:color w:val="auto"/>
          <w:sz w:val="28"/>
          <w:szCs w:val="28"/>
          <w:highlight w:val="none"/>
          <w:lang w:val="en-US" w:eastAsia="zh-CN"/>
        </w:rPr>
        <w:t>八</w:t>
      </w:r>
      <w:bookmarkEnd w:id="158"/>
      <w:bookmarkEnd w:id="159"/>
      <w:bookmarkEnd w:id="160"/>
    </w:p>
    <w:p w14:paraId="2CE0023E">
      <w:pPr>
        <w:pageBreakBefore w:val="0"/>
        <w:kinsoku/>
        <w:overflowPunct/>
        <w:topLinePunct w:val="0"/>
        <w:bidi w:val="0"/>
        <w:spacing w:line="360" w:lineRule="auto"/>
        <w:ind w:left="0" w:leftChars="0" w:firstLine="560" w:firstLineChars="200"/>
        <w:rPr>
          <w:rFonts w:hint="eastAsia" w:ascii="仿宋" w:hAnsi="仿宋" w:eastAsia="仿宋" w:cs="仿宋"/>
          <w:b w:val="0"/>
          <w:bCs/>
          <w:color w:val="auto"/>
          <w:sz w:val="28"/>
          <w:szCs w:val="28"/>
          <w:highlight w:val="none"/>
          <w:lang w:eastAsia="zh-CN"/>
        </w:rPr>
      </w:pPr>
      <w:bookmarkStart w:id="161" w:name="_Toc28850"/>
    </w:p>
    <w:p w14:paraId="545F1346">
      <w:pPr>
        <w:pageBreakBefore w:val="0"/>
        <w:kinsoku/>
        <w:overflowPunct/>
        <w:topLinePunct w:val="0"/>
        <w:bidi w:val="0"/>
        <w:spacing w:line="360" w:lineRule="auto"/>
        <w:ind w:left="0" w:leftChars="0" w:firstLine="560" w:firstLineChars="200"/>
        <w:jc w:val="center"/>
        <w:outlineLvl w:val="0"/>
        <w:rPr>
          <w:rFonts w:hint="eastAsia" w:ascii="仿宋" w:hAnsi="仿宋" w:eastAsia="仿宋" w:cs="仿宋"/>
          <w:color w:val="auto"/>
          <w:sz w:val="28"/>
          <w:szCs w:val="28"/>
          <w:highlight w:val="none"/>
        </w:rPr>
      </w:pPr>
      <w:bookmarkStart w:id="162" w:name="_Toc12612"/>
      <w:bookmarkStart w:id="163" w:name="_Toc21103"/>
      <w:bookmarkStart w:id="164" w:name="_Toc26629"/>
      <w:r>
        <w:rPr>
          <w:rFonts w:hint="eastAsia" w:ascii="仿宋" w:hAnsi="仿宋" w:eastAsia="仿宋" w:cs="仿宋"/>
          <w:b w:val="0"/>
          <w:bCs/>
          <w:color w:val="auto"/>
          <w:sz w:val="28"/>
          <w:szCs w:val="28"/>
          <w:highlight w:val="none"/>
          <w:lang w:eastAsia="zh-CN"/>
        </w:rPr>
        <w:t>发包文件</w:t>
      </w:r>
      <w:r>
        <w:rPr>
          <w:rFonts w:hint="eastAsia" w:ascii="仿宋" w:hAnsi="仿宋" w:eastAsia="仿宋" w:cs="仿宋"/>
          <w:b w:val="0"/>
          <w:bCs/>
          <w:color w:val="auto"/>
          <w:sz w:val="28"/>
          <w:szCs w:val="28"/>
          <w:highlight w:val="none"/>
        </w:rPr>
        <w:t>要求和供应商认为需要提供的其它说明和资料</w:t>
      </w:r>
      <w:bookmarkEnd w:id="161"/>
      <w:bookmarkEnd w:id="162"/>
      <w:bookmarkEnd w:id="163"/>
      <w:bookmarkEnd w:id="164"/>
    </w:p>
    <w:sectPr>
      <w:headerReference r:id="rId6" w:type="default"/>
      <w:footerReference r:id="rId7" w:type="default"/>
      <w:pgSz w:w="11906" w:h="16838"/>
      <w:pgMar w:top="1361" w:right="1701" w:bottom="1361" w:left="1701" w:header="1020" w:footer="850" w:gutter="0"/>
      <w:pgNumType w:fmt="decimal"/>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8E8136-E61C-4A29-A483-AC2FE05A1A26}"/>
  </w:font>
  <w:font w:name="黑体">
    <w:panose1 w:val="02010609060101010101"/>
    <w:charset w:val="86"/>
    <w:family w:val="auto"/>
    <w:pitch w:val="default"/>
    <w:sig w:usb0="800002BF" w:usb1="38CF7CFA" w:usb2="00000016" w:usb3="00000000" w:csb0="00040001" w:csb1="00000000"/>
    <w:embedRegular r:id="rId2" w:fontKey="{3D854C65-9212-44B1-84F7-00AA947081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DFA97B35-7923-46E7-988B-D5270BD847C4}"/>
  </w:font>
  <w:font w:name="方正黑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17C4EBB1-5ECC-4AA1-ABC0-AEC63B0F89DA}"/>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0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DotumChe">
    <w:altName w:val="Malgun Gothic"/>
    <w:panose1 w:val="020B0609000101010101"/>
    <w:charset w:val="81"/>
    <w:family w:val="modern"/>
    <w:pitch w:val="default"/>
    <w:sig w:usb0="00000000" w:usb1="00000000" w:usb2="00000030" w:usb3="00000000" w:csb0="4008009F" w:csb1="DFD70000"/>
    <w:embedRegular r:id="rId5" w:fontKey="{ED26CA60-7391-48A0-9B9C-BB838ED85F9A}"/>
  </w:font>
  <w:font w:name="Malgun Gothic">
    <w:panose1 w:val="020B0503020000020004"/>
    <w:charset w:val="81"/>
    <w:family w:val="auto"/>
    <w:pitch w:val="default"/>
    <w:sig w:usb0="9000002F" w:usb1="29D77CFB" w:usb2="00000012" w:usb3="00000000" w:csb0="00080001" w:csb1="00000000"/>
  </w:font>
  <w:font w:name="方正仿宋_GBK">
    <w:panose1 w:val="03000509000000000000"/>
    <w:charset w:val="86"/>
    <w:family w:val="auto"/>
    <w:pitch w:val="default"/>
    <w:sig w:usb0="00000001" w:usb1="080E0000" w:usb2="00000000" w:usb3="00000000" w:csb0="00040000" w:csb1="00000000"/>
    <w:embedRegular r:id="rId6" w:fontKey="{EE461B96-2010-4360-9682-354A2BAA01D4}"/>
  </w:font>
  <w:font w:name="Arial Black">
    <w:panose1 w:val="020B0A04020102020204"/>
    <w:charset w:val="00"/>
    <w:family w:val="swiss"/>
    <w:pitch w:val="default"/>
    <w:sig w:usb0="A00002AF" w:usb1="400078FB" w:usb2="00000000" w:usb3="00000000" w:csb0="6000009F" w:csb1="DFD70000"/>
    <w:embedRegular r:id="rId7" w:fontKey="{8A919BE3-1FA9-4D9B-A2AA-EFE8E4F1C3B9}"/>
  </w:font>
  <w:font w:name="华文彩云">
    <w:panose1 w:val="02010800040101010101"/>
    <w:charset w:val="86"/>
    <w:family w:val="auto"/>
    <w:pitch w:val="default"/>
    <w:sig w:usb0="00000001" w:usb1="080F0000" w:usb2="00000000" w:usb3="00000000" w:csb0="00040000" w:csb1="00000000"/>
    <w:embedRegular r:id="rId8" w:fontKey="{3CB54A97-ED82-4539-BA33-8BED7C29AA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9815">
    <w:pPr>
      <w:pStyle w:val="20"/>
      <w:spacing w:before="100" w:beforeAutospacing="1" w:after="100" w:afterAutospacing="1"/>
      <w:ind w:right="360"/>
      <w:jc w:val="both"/>
      <w:rPr>
        <w:rFonts w:hint="eastAsia" w:ascii="仿宋_GB2312" w:hAnsi="Arial" w:eastAsia="仿宋_GB2312"/>
        <w:b/>
        <w:sz w:val="21"/>
        <w:szCs w:val="21"/>
      </w:rPr>
    </w:pPr>
    <w:r>
      <w:rPr>
        <w:rFonts w:hint="eastAsia" w:ascii="Arial" w:hAnsi="Arial"/>
        <w:b/>
        <w:sz w:val="24"/>
        <w:u w:val="single"/>
      </w:rPr>
      <w:t xml:space="preserve">                                                                                                                     </w:t>
    </w:r>
    <w:r>
      <w:rPr>
        <w:rFonts w:hint="eastAsia" w:ascii="Arial" w:hAnsi="Arial"/>
        <w:b/>
        <w:sz w:val="24"/>
        <w:u w:val="single"/>
      </w:rP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087B">
    <w:pPr>
      <w:pStyle w:val="20"/>
      <w:spacing w:before="100" w:beforeAutospacing="1" w:after="100" w:afterAutospacing="1"/>
      <w:ind w:right="360"/>
      <w:jc w:val="both"/>
      <w:rPr>
        <w:rFonts w:hint="eastAsia" w:ascii="仿宋_GB2312" w:hAnsi="Arial" w:eastAsia="仿宋_GB2312"/>
        <w:b/>
        <w:sz w:val="21"/>
        <w:szCs w:val="21"/>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A885F">
                          <w:pPr>
                            <w:pStyle w:val="2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2A885F">
                    <w:pPr>
                      <w:pStyle w:val="2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Arial" w:hAnsi="Arial"/>
        <w:b/>
        <w:sz w:val="24"/>
        <w:u w:val="single"/>
      </w:rPr>
      <w:t xml:space="preserve">                                                                                                                     </w:t>
    </w:r>
    <w:r>
      <w:rPr>
        <w:rFonts w:hint="eastAsia" w:ascii="Arial" w:hAnsi="Arial"/>
        <w:b/>
        <w:sz w:val="24"/>
        <w:u w:val="single"/>
      </w:rP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4FA30">
    <w:pPr>
      <w:pStyle w:val="20"/>
      <w:spacing w:before="100" w:beforeAutospacing="1" w:after="100" w:afterAutospacing="1"/>
      <w:ind w:right="360"/>
      <w:jc w:val="both"/>
      <w:rPr>
        <w:rFonts w:hint="eastAsia" w:ascii="仿宋_GB2312" w:hAnsi="Arial" w:eastAsia="仿宋_GB2312"/>
        <w:b/>
        <w:sz w:val="21"/>
        <w:szCs w:val="21"/>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57CB8">
                          <w:pPr>
                            <w:pStyle w:val="2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D57CB8">
                    <w:pPr>
                      <w:pStyle w:val="2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Arial" w:hAnsi="Arial"/>
        <w:b/>
        <w:sz w:val="24"/>
        <w:u w:val="single"/>
      </w:rPr>
      <w:t xml:space="preserve">                                                                                                                     </w:t>
    </w:r>
    <w:r>
      <w:rPr>
        <w:rFonts w:hint="eastAsia" w:ascii="Arial" w:hAnsi="Arial"/>
        <w:b/>
        <w:sz w:val="24"/>
        <w:u w:val="single"/>
      </w:rP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A495">
    <w:pPr>
      <w:topLinePunct/>
      <w:jc w:val="center"/>
      <w:rPr>
        <w:rFonts w:hint="eastAsia" w:ascii="Arial" w:hAnsi="Arial" w:eastAsia="黑体" w:cs="Arial"/>
        <w:szCs w:val="21"/>
        <w:u w:val="non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09A2">
    <w:pPr>
      <w:spacing w:line="218" w:lineRule="auto"/>
      <w:ind w:left="3018"/>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953770</wp:posOffset>
              </wp:positionH>
              <wp:positionV relativeFrom="page">
                <wp:posOffset>688340</wp:posOffset>
              </wp:positionV>
              <wp:extent cx="542544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425440" cy="9525"/>
                      </a:xfrm>
                      <a:custGeom>
                        <a:avLst/>
                        <a:gdLst/>
                        <a:ahLst/>
                        <a:cxnLst/>
                        <a:pathLst>
                          <a:path w="8544" h="15">
                            <a:moveTo>
                              <a:pt x="0" y="14"/>
                            </a:moveTo>
                            <a:lnTo>
                              <a:pt x="8543" y="14"/>
                            </a:lnTo>
                            <a:lnTo>
                              <a:pt x="8543"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5.1pt;margin-top:54.2pt;height:0.75pt;width:427.2pt;mso-position-horizontal-relative:page;mso-position-vertical-relative:page;z-index:251659264;mso-width-relative:page;mso-height-relative:page;" fillcolor="#000000" filled="t" stroked="f" coordsize="8544,15" o:allowincell="f" o:gfxdata="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xLs81wAAAAwBAAAPAAAAAAAA&#10;AAEAIAAAACIAAABkcnMvZG93bnJldi54bWxQSwECFAAUAAAACACHTuJAG+tReBMCAAB8BAAADgAA&#10;AAAAAAABACAAAAAmAQAAZHJzL2Uyb0RvYy54bWxQSwUGAAAAAAYABgBZAQAAqwUAAAAA&#10;" path="m0,14l8543,14,8543,0,0,0,0,14xe">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YWIzNGQwODhmZTUyMmYzNmM4ZGU2MDIyN2ZlYjIifQ=="/>
  </w:docVars>
  <w:rsids>
    <w:rsidRoot w:val="00172A27"/>
    <w:rsid w:val="000006D0"/>
    <w:rsid w:val="00000CE6"/>
    <w:rsid w:val="00002E06"/>
    <w:rsid w:val="00003F71"/>
    <w:rsid w:val="00005C6C"/>
    <w:rsid w:val="0001027E"/>
    <w:rsid w:val="0001035B"/>
    <w:rsid w:val="000122A3"/>
    <w:rsid w:val="000123B9"/>
    <w:rsid w:val="00016045"/>
    <w:rsid w:val="00016692"/>
    <w:rsid w:val="00021DAA"/>
    <w:rsid w:val="00024888"/>
    <w:rsid w:val="00025892"/>
    <w:rsid w:val="00025A5F"/>
    <w:rsid w:val="00025AD8"/>
    <w:rsid w:val="0002648B"/>
    <w:rsid w:val="00026C6C"/>
    <w:rsid w:val="00026E24"/>
    <w:rsid w:val="00027140"/>
    <w:rsid w:val="0002724E"/>
    <w:rsid w:val="0002752E"/>
    <w:rsid w:val="0003051E"/>
    <w:rsid w:val="000309CA"/>
    <w:rsid w:val="00030D6E"/>
    <w:rsid w:val="00031780"/>
    <w:rsid w:val="0003391C"/>
    <w:rsid w:val="00033DCD"/>
    <w:rsid w:val="0003410D"/>
    <w:rsid w:val="00034416"/>
    <w:rsid w:val="000360DC"/>
    <w:rsid w:val="000362D2"/>
    <w:rsid w:val="00037144"/>
    <w:rsid w:val="00041C4D"/>
    <w:rsid w:val="00042D04"/>
    <w:rsid w:val="00044718"/>
    <w:rsid w:val="0004574E"/>
    <w:rsid w:val="00051087"/>
    <w:rsid w:val="0005109B"/>
    <w:rsid w:val="00051CD2"/>
    <w:rsid w:val="0005314B"/>
    <w:rsid w:val="0005318E"/>
    <w:rsid w:val="000545F7"/>
    <w:rsid w:val="0005526F"/>
    <w:rsid w:val="00056CFF"/>
    <w:rsid w:val="00057DEE"/>
    <w:rsid w:val="00061719"/>
    <w:rsid w:val="0006173E"/>
    <w:rsid w:val="00061B25"/>
    <w:rsid w:val="00061E77"/>
    <w:rsid w:val="00062EE4"/>
    <w:rsid w:val="000631ED"/>
    <w:rsid w:val="000641E6"/>
    <w:rsid w:val="000646AE"/>
    <w:rsid w:val="000668C3"/>
    <w:rsid w:val="00066B6B"/>
    <w:rsid w:val="00067A62"/>
    <w:rsid w:val="0007033C"/>
    <w:rsid w:val="00070580"/>
    <w:rsid w:val="0007371A"/>
    <w:rsid w:val="00073BCC"/>
    <w:rsid w:val="00075201"/>
    <w:rsid w:val="00076829"/>
    <w:rsid w:val="00076CCF"/>
    <w:rsid w:val="000828AB"/>
    <w:rsid w:val="00082C11"/>
    <w:rsid w:val="00084F76"/>
    <w:rsid w:val="00086209"/>
    <w:rsid w:val="00093589"/>
    <w:rsid w:val="00095EBE"/>
    <w:rsid w:val="000A0138"/>
    <w:rsid w:val="000A266B"/>
    <w:rsid w:val="000A399C"/>
    <w:rsid w:val="000A445E"/>
    <w:rsid w:val="000A4CC1"/>
    <w:rsid w:val="000A618A"/>
    <w:rsid w:val="000A639F"/>
    <w:rsid w:val="000A6550"/>
    <w:rsid w:val="000A6885"/>
    <w:rsid w:val="000B0951"/>
    <w:rsid w:val="000B228A"/>
    <w:rsid w:val="000B251C"/>
    <w:rsid w:val="000B3F9C"/>
    <w:rsid w:val="000C16FD"/>
    <w:rsid w:val="000C1CD1"/>
    <w:rsid w:val="000C35C0"/>
    <w:rsid w:val="000C4088"/>
    <w:rsid w:val="000C4BC3"/>
    <w:rsid w:val="000C5877"/>
    <w:rsid w:val="000C6171"/>
    <w:rsid w:val="000C6BB4"/>
    <w:rsid w:val="000C70B0"/>
    <w:rsid w:val="000D00C5"/>
    <w:rsid w:val="000D267A"/>
    <w:rsid w:val="000D28C0"/>
    <w:rsid w:val="000D37E4"/>
    <w:rsid w:val="000D57E3"/>
    <w:rsid w:val="000D6FC4"/>
    <w:rsid w:val="000D740A"/>
    <w:rsid w:val="000E0DD5"/>
    <w:rsid w:val="000E3555"/>
    <w:rsid w:val="000E3748"/>
    <w:rsid w:val="000E3814"/>
    <w:rsid w:val="000E4293"/>
    <w:rsid w:val="000E4FAC"/>
    <w:rsid w:val="000E577B"/>
    <w:rsid w:val="000E5F8B"/>
    <w:rsid w:val="000E6E2E"/>
    <w:rsid w:val="000E6F1E"/>
    <w:rsid w:val="000F0F54"/>
    <w:rsid w:val="000F3317"/>
    <w:rsid w:val="000F4906"/>
    <w:rsid w:val="000F4E38"/>
    <w:rsid w:val="000F5823"/>
    <w:rsid w:val="000F5D1A"/>
    <w:rsid w:val="001020B1"/>
    <w:rsid w:val="001023D6"/>
    <w:rsid w:val="00102E4A"/>
    <w:rsid w:val="0010304A"/>
    <w:rsid w:val="0010394E"/>
    <w:rsid w:val="00103A35"/>
    <w:rsid w:val="00104E5B"/>
    <w:rsid w:val="00106A59"/>
    <w:rsid w:val="0011126D"/>
    <w:rsid w:val="00112176"/>
    <w:rsid w:val="00113DEA"/>
    <w:rsid w:val="001143AF"/>
    <w:rsid w:val="001145FC"/>
    <w:rsid w:val="00114B8A"/>
    <w:rsid w:val="001150E9"/>
    <w:rsid w:val="00115932"/>
    <w:rsid w:val="00116CAB"/>
    <w:rsid w:val="00117395"/>
    <w:rsid w:val="0012177B"/>
    <w:rsid w:val="00122818"/>
    <w:rsid w:val="00122A3D"/>
    <w:rsid w:val="00123FFC"/>
    <w:rsid w:val="00124259"/>
    <w:rsid w:val="00125A65"/>
    <w:rsid w:val="00126050"/>
    <w:rsid w:val="0013004E"/>
    <w:rsid w:val="00131767"/>
    <w:rsid w:val="00131D96"/>
    <w:rsid w:val="0013432F"/>
    <w:rsid w:val="00134739"/>
    <w:rsid w:val="00136906"/>
    <w:rsid w:val="00136FBF"/>
    <w:rsid w:val="001405C4"/>
    <w:rsid w:val="00140F44"/>
    <w:rsid w:val="00141EC2"/>
    <w:rsid w:val="00142995"/>
    <w:rsid w:val="001458AB"/>
    <w:rsid w:val="00146280"/>
    <w:rsid w:val="00147FE8"/>
    <w:rsid w:val="00150E88"/>
    <w:rsid w:val="00151439"/>
    <w:rsid w:val="00154100"/>
    <w:rsid w:val="00154E88"/>
    <w:rsid w:val="001554E5"/>
    <w:rsid w:val="00155A97"/>
    <w:rsid w:val="001565EF"/>
    <w:rsid w:val="00162E65"/>
    <w:rsid w:val="0016318D"/>
    <w:rsid w:val="00163AB3"/>
    <w:rsid w:val="00163ED6"/>
    <w:rsid w:val="00164921"/>
    <w:rsid w:val="001665B9"/>
    <w:rsid w:val="00167AA6"/>
    <w:rsid w:val="0017078E"/>
    <w:rsid w:val="001727B3"/>
    <w:rsid w:val="00172DBB"/>
    <w:rsid w:val="00173F37"/>
    <w:rsid w:val="00174FE0"/>
    <w:rsid w:val="001751A5"/>
    <w:rsid w:val="00180745"/>
    <w:rsid w:val="00181A7E"/>
    <w:rsid w:val="0018403B"/>
    <w:rsid w:val="00184EE8"/>
    <w:rsid w:val="0018525C"/>
    <w:rsid w:val="0018667C"/>
    <w:rsid w:val="00186A02"/>
    <w:rsid w:val="00187D38"/>
    <w:rsid w:val="00187EB6"/>
    <w:rsid w:val="00187F96"/>
    <w:rsid w:val="00190140"/>
    <w:rsid w:val="0019110E"/>
    <w:rsid w:val="00191C5A"/>
    <w:rsid w:val="00191F9C"/>
    <w:rsid w:val="001964C8"/>
    <w:rsid w:val="001968CA"/>
    <w:rsid w:val="001979EA"/>
    <w:rsid w:val="001A03E7"/>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44AD"/>
    <w:rsid w:val="001B599A"/>
    <w:rsid w:val="001B757B"/>
    <w:rsid w:val="001B7E64"/>
    <w:rsid w:val="001C1730"/>
    <w:rsid w:val="001C395E"/>
    <w:rsid w:val="001C5597"/>
    <w:rsid w:val="001C5B46"/>
    <w:rsid w:val="001C6E15"/>
    <w:rsid w:val="001D05AC"/>
    <w:rsid w:val="001D0C62"/>
    <w:rsid w:val="001D1AF2"/>
    <w:rsid w:val="001D2711"/>
    <w:rsid w:val="001D2BC8"/>
    <w:rsid w:val="001D2C0F"/>
    <w:rsid w:val="001D4D79"/>
    <w:rsid w:val="001D4E20"/>
    <w:rsid w:val="001D5409"/>
    <w:rsid w:val="001D5FFC"/>
    <w:rsid w:val="001D6313"/>
    <w:rsid w:val="001D6ACD"/>
    <w:rsid w:val="001D7422"/>
    <w:rsid w:val="001E1772"/>
    <w:rsid w:val="001E1818"/>
    <w:rsid w:val="001E2159"/>
    <w:rsid w:val="001E525A"/>
    <w:rsid w:val="001E5C1B"/>
    <w:rsid w:val="001F04E8"/>
    <w:rsid w:val="001F06EC"/>
    <w:rsid w:val="001F1DE8"/>
    <w:rsid w:val="001F2E8F"/>
    <w:rsid w:val="001F3AAD"/>
    <w:rsid w:val="001F4BE8"/>
    <w:rsid w:val="001F4F36"/>
    <w:rsid w:val="001F5B64"/>
    <w:rsid w:val="001F6A54"/>
    <w:rsid w:val="001F7A3F"/>
    <w:rsid w:val="0020095A"/>
    <w:rsid w:val="00201FB2"/>
    <w:rsid w:val="00202485"/>
    <w:rsid w:val="0020358A"/>
    <w:rsid w:val="002038B8"/>
    <w:rsid w:val="0020518B"/>
    <w:rsid w:val="002051E3"/>
    <w:rsid w:val="0020613C"/>
    <w:rsid w:val="00206F44"/>
    <w:rsid w:val="00210282"/>
    <w:rsid w:val="00210609"/>
    <w:rsid w:val="0021080C"/>
    <w:rsid w:val="002128FD"/>
    <w:rsid w:val="002132FA"/>
    <w:rsid w:val="00217393"/>
    <w:rsid w:val="0022012E"/>
    <w:rsid w:val="002237B9"/>
    <w:rsid w:val="00223BE4"/>
    <w:rsid w:val="002301AF"/>
    <w:rsid w:val="002313BA"/>
    <w:rsid w:val="002321B6"/>
    <w:rsid w:val="0023391A"/>
    <w:rsid w:val="002341B2"/>
    <w:rsid w:val="00234980"/>
    <w:rsid w:val="00235FDC"/>
    <w:rsid w:val="00236775"/>
    <w:rsid w:val="002404FB"/>
    <w:rsid w:val="002404FE"/>
    <w:rsid w:val="002415CB"/>
    <w:rsid w:val="0024171A"/>
    <w:rsid w:val="00243002"/>
    <w:rsid w:val="00247228"/>
    <w:rsid w:val="00251F15"/>
    <w:rsid w:val="00254988"/>
    <w:rsid w:val="00255F09"/>
    <w:rsid w:val="00257A54"/>
    <w:rsid w:val="00260BE0"/>
    <w:rsid w:val="00263D8A"/>
    <w:rsid w:val="00264065"/>
    <w:rsid w:val="002645D4"/>
    <w:rsid w:val="0026564B"/>
    <w:rsid w:val="00266A8C"/>
    <w:rsid w:val="00267103"/>
    <w:rsid w:val="002674C7"/>
    <w:rsid w:val="0027088B"/>
    <w:rsid w:val="00270AF7"/>
    <w:rsid w:val="00271624"/>
    <w:rsid w:val="00271BB4"/>
    <w:rsid w:val="00272D5A"/>
    <w:rsid w:val="00273207"/>
    <w:rsid w:val="00273A47"/>
    <w:rsid w:val="00273B53"/>
    <w:rsid w:val="00273EB4"/>
    <w:rsid w:val="00275C45"/>
    <w:rsid w:val="002805B8"/>
    <w:rsid w:val="002841E5"/>
    <w:rsid w:val="00285029"/>
    <w:rsid w:val="0028586B"/>
    <w:rsid w:val="00285B75"/>
    <w:rsid w:val="00286AED"/>
    <w:rsid w:val="00290B1F"/>
    <w:rsid w:val="002947FF"/>
    <w:rsid w:val="00295EB0"/>
    <w:rsid w:val="00296019"/>
    <w:rsid w:val="00296CC6"/>
    <w:rsid w:val="002A100B"/>
    <w:rsid w:val="002A1E85"/>
    <w:rsid w:val="002A40C1"/>
    <w:rsid w:val="002A6A5C"/>
    <w:rsid w:val="002A7672"/>
    <w:rsid w:val="002A7679"/>
    <w:rsid w:val="002B26ED"/>
    <w:rsid w:val="002B309B"/>
    <w:rsid w:val="002B44E3"/>
    <w:rsid w:val="002B479E"/>
    <w:rsid w:val="002B50D8"/>
    <w:rsid w:val="002B6019"/>
    <w:rsid w:val="002B6FF7"/>
    <w:rsid w:val="002C023C"/>
    <w:rsid w:val="002C0966"/>
    <w:rsid w:val="002C1547"/>
    <w:rsid w:val="002C3E1F"/>
    <w:rsid w:val="002C4EA0"/>
    <w:rsid w:val="002C5D3B"/>
    <w:rsid w:val="002C7B82"/>
    <w:rsid w:val="002D011D"/>
    <w:rsid w:val="002D074B"/>
    <w:rsid w:val="002D092A"/>
    <w:rsid w:val="002D0BF9"/>
    <w:rsid w:val="002D1A41"/>
    <w:rsid w:val="002D3211"/>
    <w:rsid w:val="002D459A"/>
    <w:rsid w:val="002D5776"/>
    <w:rsid w:val="002D6759"/>
    <w:rsid w:val="002D6A51"/>
    <w:rsid w:val="002D7F9C"/>
    <w:rsid w:val="002D7FC3"/>
    <w:rsid w:val="002E0301"/>
    <w:rsid w:val="002E0C98"/>
    <w:rsid w:val="002E3676"/>
    <w:rsid w:val="002E368A"/>
    <w:rsid w:val="002E3940"/>
    <w:rsid w:val="002E3C28"/>
    <w:rsid w:val="002E48CA"/>
    <w:rsid w:val="002E4AE9"/>
    <w:rsid w:val="002E66B1"/>
    <w:rsid w:val="002E69DF"/>
    <w:rsid w:val="002E7091"/>
    <w:rsid w:val="002F008B"/>
    <w:rsid w:val="002F0CDD"/>
    <w:rsid w:val="002F1A4F"/>
    <w:rsid w:val="002F4045"/>
    <w:rsid w:val="002F4B95"/>
    <w:rsid w:val="002F5186"/>
    <w:rsid w:val="002F65CF"/>
    <w:rsid w:val="002F7441"/>
    <w:rsid w:val="002F77B8"/>
    <w:rsid w:val="002F79A7"/>
    <w:rsid w:val="002F7F29"/>
    <w:rsid w:val="002F7FEA"/>
    <w:rsid w:val="0030017A"/>
    <w:rsid w:val="00302180"/>
    <w:rsid w:val="003049B9"/>
    <w:rsid w:val="00305A83"/>
    <w:rsid w:val="00305E04"/>
    <w:rsid w:val="0030735E"/>
    <w:rsid w:val="00307DED"/>
    <w:rsid w:val="003100CB"/>
    <w:rsid w:val="00310196"/>
    <w:rsid w:val="003106BB"/>
    <w:rsid w:val="00311DA1"/>
    <w:rsid w:val="00312302"/>
    <w:rsid w:val="00312D23"/>
    <w:rsid w:val="003130A2"/>
    <w:rsid w:val="00313C3E"/>
    <w:rsid w:val="003142BC"/>
    <w:rsid w:val="003152F9"/>
    <w:rsid w:val="0032010F"/>
    <w:rsid w:val="00323603"/>
    <w:rsid w:val="00325752"/>
    <w:rsid w:val="0033202B"/>
    <w:rsid w:val="00332386"/>
    <w:rsid w:val="00332482"/>
    <w:rsid w:val="00334FBA"/>
    <w:rsid w:val="00335A9C"/>
    <w:rsid w:val="003362F8"/>
    <w:rsid w:val="00336B9D"/>
    <w:rsid w:val="00336E42"/>
    <w:rsid w:val="00340CB7"/>
    <w:rsid w:val="00341507"/>
    <w:rsid w:val="00343542"/>
    <w:rsid w:val="003442F8"/>
    <w:rsid w:val="0034534F"/>
    <w:rsid w:val="00345932"/>
    <w:rsid w:val="003467EC"/>
    <w:rsid w:val="00347300"/>
    <w:rsid w:val="00350147"/>
    <w:rsid w:val="00350834"/>
    <w:rsid w:val="003516AE"/>
    <w:rsid w:val="00352071"/>
    <w:rsid w:val="00353756"/>
    <w:rsid w:val="00354127"/>
    <w:rsid w:val="00355AB3"/>
    <w:rsid w:val="00355DEB"/>
    <w:rsid w:val="00355F6E"/>
    <w:rsid w:val="00357C2E"/>
    <w:rsid w:val="00360766"/>
    <w:rsid w:val="00363DA4"/>
    <w:rsid w:val="003642ED"/>
    <w:rsid w:val="0036447E"/>
    <w:rsid w:val="00364758"/>
    <w:rsid w:val="00364B90"/>
    <w:rsid w:val="00365B65"/>
    <w:rsid w:val="00366149"/>
    <w:rsid w:val="003664AB"/>
    <w:rsid w:val="00370712"/>
    <w:rsid w:val="003714FF"/>
    <w:rsid w:val="00371957"/>
    <w:rsid w:val="00371DE8"/>
    <w:rsid w:val="003734B4"/>
    <w:rsid w:val="00374711"/>
    <w:rsid w:val="00374E5C"/>
    <w:rsid w:val="00375ACD"/>
    <w:rsid w:val="00376999"/>
    <w:rsid w:val="00376DC5"/>
    <w:rsid w:val="00380690"/>
    <w:rsid w:val="0038133F"/>
    <w:rsid w:val="00381D60"/>
    <w:rsid w:val="003821D7"/>
    <w:rsid w:val="00384218"/>
    <w:rsid w:val="00387067"/>
    <w:rsid w:val="003875A8"/>
    <w:rsid w:val="003879D9"/>
    <w:rsid w:val="003913BF"/>
    <w:rsid w:val="00391E4E"/>
    <w:rsid w:val="00394A24"/>
    <w:rsid w:val="003955C6"/>
    <w:rsid w:val="00395ADB"/>
    <w:rsid w:val="00395C8D"/>
    <w:rsid w:val="00396E65"/>
    <w:rsid w:val="003A0AEC"/>
    <w:rsid w:val="003A0E8F"/>
    <w:rsid w:val="003A2068"/>
    <w:rsid w:val="003A379F"/>
    <w:rsid w:val="003A3A64"/>
    <w:rsid w:val="003A4126"/>
    <w:rsid w:val="003A4EC2"/>
    <w:rsid w:val="003A5AF9"/>
    <w:rsid w:val="003B08C2"/>
    <w:rsid w:val="003B0B80"/>
    <w:rsid w:val="003B16AA"/>
    <w:rsid w:val="003B2F5E"/>
    <w:rsid w:val="003B3255"/>
    <w:rsid w:val="003B3269"/>
    <w:rsid w:val="003B366D"/>
    <w:rsid w:val="003B3EB1"/>
    <w:rsid w:val="003B566F"/>
    <w:rsid w:val="003B634F"/>
    <w:rsid w:val="003C108E"/>
    <w:rsid w:val="003C1852"/>
    <w:rsid w:val="003C1D9C"/>
    <w:rsid w:val="003C29ED"/>
    <w:rsid w:val="003C301D"/>
    <w:rsid w:val="003C3AA1"/>
    <w:rsid w:val="003C3E6A"/>
    <w:rsid w:val="003C41CD"/>
    <w:rsid w:val="003C46A3"/>
    <w:rsid w:val="003C4C46"/>
    <w:rsid w:val="003C4F16"/>
    <w:rsid w:val="003C67E8"/>
    <w:rsid w:val="003C6E41"/>
    <w:rsid w:val="003C7880"/>
    <w:rsid w:val="003C793B"/>
    <w:rsid w:val="003C7A19"/>
    <w:rsid w:val="003C7EC9"/>
    <w:rsid w:val="003D03BE"/>
    <w:rsid w:val="003D1934"/>
    <w:rsid w:val="003D2AED"/>
    <w:rsid w:val="003D31E8"/>
    <w:rsid w:val="003D3E3D"/>
    <w:rsid w:val="003D3FB1"/>
    <w:rsid w:val="003D44DC"/>
    <w:rsid w:val="003D52DE"/>
    <w:rsid w:val="003D547D"/>
    <w:rsid w:val="003D6E28"/>
    <w:rsid w:val="003D7FC5"/>
    <w:rsid w:val="003E11C2"/>
    <w:rsid w:val="003E21DC"/>
    <w:rsid w:val="003E241D"/>
    <w:rsid w:val="003E2E88"/>
    <w:rsid w:val="003E3CEF"/>
    <w:rsid w:val="003E6B64"/>
    <w:rsid w:val="003F07F6"/>
    <w:rsid w:val="003F3C57"/>
    <w:rsid w:val="003F4A40"/>
    <w:rsid w:val="003F5864"/>
    <w:rsid w:val="0040004C"/>
    <w:rsid w:val="00400C11"/>
    <w:rsid w:val="00402347"/>
    <w:rsid w:val="0040419F"/>
    <w:rsid w:val="004041E4"/>
    <w:rsid w:val="0040492E"/>
    <w:rsid w:val="00404E03"/>
    <w:rsid w:val="00412E98"/>
    <w:rsid w:val="00413E8D"/>
    <w:rsid w:val="00414B2B"/>
    <w:rsid w:val="00414D7D"/>
    <w:rsid w:val="00414F32"/>
    <w:rsid w:val="0041527D"/>
    <w:rsid w:val="00415A74"/>
    <w:rsid w:val="004237A7"/>
    <w:rsid w:val="00424F34"/>
    <w:rsid w:val="004252E0"/>
    <w:rsid w:val="0042563A"/>
    <w:rsid w:val="00426BAE"/>
    <w:rsid w:val="00427DD0"/>
    <w:rsid w:val="0043098A"/>
    <w:rsid w:val="00430D4A"/>
    <w:rsid w:val="00430EAE"/>
    <w:rsid w:val="00431B67"/>
    <w:rsid w:val="00431E42"/>
    <w:rsid w:val="00432B7B"/>
    <w:rsid w:val="00435513"/>
    <w:rsid w:val="00436792"/>
    <w:rsid w:val="004369A7"/>
    <w:rsid w:val="00436FA6"/>
    <w:rsid w:val="004376E2"/>
    <w:rsid w:val="00440A1B"/>
    <w:rsid w:val="004426F0"/>
    <w:rsid w:val="00442C0A"/>
    <w:rsid w:val="00442E30"/>
    <w:rsid w:val="004433F3"/>
    <w:rsid w:val="004437FC"/>
    <w:rsid w:val="004466B7"/>
    <w:rsid w:val="004469AE"/>
    <w:rsid w:val="004513FF"/>
    <w:rsid w:val="00451F68"/>
    <w:rsid w:val="00452071"/>
    <w:rsid w:val="00452604"/>
    <w:rsid w:val="0045377C"/>
    <w:rsid w:val="0045427E"/>
    <w:rsid w:val="00454C16"/>
    <w:rsid w:val="00455997"/>
    <w:rsid w:val="00455D1B"/>
    <w:rsid w:val="00455E9A"/>
    <w:rsid w:val="00456652"/>
    <w:rsid w:val="00460B91"/>
    <w:rsid w:val="0046111D"/>
    <w:rsid w:val="00464383"/>
    <w:rsid w:val="00464438"/>
    <w:rsid w:val="00464DD1"/>
    <w:rsid w:val="00465DB1"/>
    <w:rsid w:val="004662C9"/>
    <w:rsid w:val="00466D0E"/>
    <w:rsid w:val="00466DED"/>
    <w:rsid w:val="00467810"/>
    <w:rsid w:val="00467D8A"/>
    <w:rsid w:val="0047059F"/>
    <w:rsid w:val="004706F0"/>
    <w:rsid w:val="0047242C"/>
    <w:rsid w:val="00474719"/>
    <w:rsid w:val="00474ECC"/>
    <w:rsid w:val="004750C3"/>
    <w:rsid w:val="004755F1"/>
    <w:rsid w:val="00476EE6"/>
    <w:rsid w:val="0048033C"/>
    <w:rsid w:val="00480D93"/>
    <w:rsid w:val="004811BA"/>
    <w:rsid w:val="004818AF"/>
    <w:rsid w:val="00483484"/>
    <w:rsid w:val="00483E26"/>
    <w:rsid w:val="004841F7"/>
    <w:rsid w:val="00484354"/>
    <w:rsid w:val="00485F7A"/>
    <w:rsid w:val="0048633B"/>
    <w:rsid w:val="00486955"/>
    <w:rsid w:val="00487405"/>
    <w:rsid w:val="00491E1D"/>
    <w:rsid w:val="00492643"/>
    <w:rsid w:val="0049404D"/>
    <w:rsid w:val="004941B4"/>
    <w:rsid w:val="004942B9"/>
    <w:rsid w:val="004952EB"/>
    <w:rsid w:val="00497B82"/>
    <w:rsid w:val="004A0C84"/>
    <w:rsid w:val="004A15D2"/>
    <w:rsid w:val="004A1F55"/>
    <w:rsid w:val="004A2FCE"/>
    <w:rsid w:val="004A453F"/>
    <w:rsid w:val="004A4E5B"/>
    <w:rsid w:val="004A5242"/>
    <w:rsid w:val="004A560F"/>
    <w:rsid w:val="004A5915"/>
    <w:rsid w:val="004A6984"/>
    <w:rsid w:val="004A701F"/>
    <w:rsid w:val="004A7D24"/>
    <w:rsid w:val="004B18ED"/>
    <w:rsid w:val="004B2114"/>
    <w:rsid w:val="004B2295"/>
    <w:rsid w:val="004B2FCE"/>
    <w:rsid w:val="004B3AD5"/>
    <w:rsid w:val="004B481A"/>
    <w:rsid w:val="004B482A"/>
    <w:rsid w:val="004B4D7A"/>
    <w:rsid w:val="004B4F4F"/>
    <w:rsid w:val="004B53B4"/>
    <w:rsid w:val="004B5AA0"/>
    <w:rsid w:val="004B5B1E"/>
    <w:rsid w:val="004B624F"/>
    <w:rsid w:val="004C250D"/>
    <w:rsid w:val="004C28E8"/>
    <w:rsid w:val="004C35A8"/>
    <w:rsid w:val="004C5A42"/>
    <w:rsid w:val="004C62B0"/>
    <w:rsid w:val="004C771A"/>
    <w:rsid w:val="004D0563"/>
    <w:rsid w:val="004D1FDB"/>
    <w:rsid w:val="004D2D26"/>
    <w:rsid w:val="004D30E4"/>
    <w:rsid w:val="004D334C"/>
    <w:rsid w:val="004D381E"/>
    <w:rsid w:val="004D6CD3"/>
    <w:rsid w:val="004E058F"/>
    <w:rsid w:val="004E3767"/>
    <w:rsid w:val="004E44B3"/>
    <w:rsid w:val="004E4E1A"/>
    <w:rsid w:val="004E7A21"/>
    <w:rsid w:val="004F3965"/>
    <w:rsid w:val="004F4ED2"/>
    <w:rsid w:val="004F6453"/>
    <w:rsid w:val="004F7C94"/>
    <w:rsid w:val="00501787"/>
    <w:rsid w:val="00501BD7"/>
    <w:rsid w:val="005022B8"/>
    <w:rsid w:val="0050434F"/>
    <w:rsid w:val="0050440A"/>
    <w:rsid w:val="005044CE"/>
    <w:rsid w:val="00504648"/>
    <w:rsid w:val="0050482A"/>
    <w:rsid w:val="00504C33"/>
    <w:rsid w:val="005054F8"/>
    <w:rsid w:val="005077E7"/>
    <w:rsid w:val="00510C74"/>
    <w:rsid w:val="00510F5A"/>
    <w:rsid w:val="00512579"/>
    <w:rsid w:val="005126BB"/>
    <w:rsid w:val="00513385"/>
    <w:rsid w:val="00513701"/>
    <w:rsid w:val="005149AA"/>
    <w:rsid w:val="0051582F"/>
    <w:rsid w:val="00515B3E"/>
    <w:rsid w:val="00516EA6"/>
    <w:rsid w:val="005176B5"/>
    <w:rsid w:val="00517D86"/>
    <w:rsid w:val="00522A43"/>
    <w:rsid w:val="00523C6C"/>
    <w:rsid w:val="00523C75"/>
    <w:rsid w:val="00525107"/>
    <w:rsid w:val="00525B63"/>
    <w:rsid w:val="005265AD"/>
    <w:rsid w:val="005268F1"/>
    <w:rsid w:val="005301F7"/>
    <w:rsid w:val="005309EB"/>
    <w:rsid w:val="00534887"/>
    <w:rsid w:val="00535063"/>
    <w:rsid w:val="005353BA"/>
    <w:rsid w:val="005415F8"/>
    <w:rsid w:val="0054192E"/>
    <w:rsid w:val="00541A72"/>
    <w:rsid w:val="0054230C"/>
    <w:rsid w:val="00543C2D"/>
    <w:rsid w:val="00543FD0"/>
    <w:rsid w:val="005455F5"/>
    <w:rsid w:val="00550389"/>
    <w:rsid w:val="00550EBA"/>
    <w:rsid w:val="00550ED7"/>
    <w:rsid w:val="00551E06"/>
    <w:rsid w:val="005534A5"/>
    <w:rsid w:val="00557BC0"/>
    <w:rsid w:val="00557C6F"/>
    <w:rsid w:val="005605B0"/>
    <w:rsid w:val="005609B1"/>
    <w:rsid w:val="00561B28"/>
    <w:rsid w:val="0056268C"/>
    <w:rsid w:val="00562B71"/>
    <w:rsid w:val="00562D06"/>
    <w:rsid w:val="00562D07"/>
    <w:rsid w:val="00564BE2"/>
    <w:rsid w:val="00565F0A"/>
    <w:rsid w:val="00566075"/>
    <w:rsid w:val="00566D86"/>
    <w:rsid w:val="005677C6"/>
    <w:rsid w:val="00570356"/>
    <w:rsid w:val="00571471"/>
    <w:rsid w:val="0057168A"/>
    <w:rsid w:val="005727AA"/>
    <w:rsid w:val="00573786"/>
    <w:rsid w:val="005739DE"/>
    <w:rsid w:val="00574860"/>
    <w:rsid w:val="005749A5"/>
    <w:rsid w:val="00574E54"/>
    <w:rsid w:val="005758B5"/>
    <w:rsid w:val="00575BFB"/>
    <w:rsid w:val="00576142"/>
    <w:rsid w:val="005761A3"/>
    <w:rsid w:val="00576721"/>
    <w:rsid w:val="0058047D"/>
    <w:rsid w:val="00580D8F"/>
    <w:rsid w:val="005813F7"/>
    <w:rsid w:val="00581AA1"/>
    <w:rsid w:val="005821EF"/>
    <w:rsid w:val="00583591"/>
    <w:rsid w:val="00583638"/>
    <w:rsid w:val="00583B73"/>
    <w:rsid w:val="0058439C"/>
    <w:rsid w:val="005857AD"/>
    <w:rsid w:val="005879CE"/>
    <w:rsid w:val="005879E3"/>
    <w:rsid w:val="00590386"/>
    <w:rsid w:val="00592BC7"/>
    <w:rsid w:val="00592EF5"/>
    <w:rsid w:val="00595FE9"/>
    <w:rsid w:val="00596C01"/>
    <w:rsid w:val="0059781F"/>
    <w:rsid w:val="005A0694"/>
    <w:rsid w:val="005A121E"/>
    <w:rsid w:val="005A3322"/>
    <w:rsid w:val="005A3B09"/>
    <w:rsid w:val="005A3C17"/>
    <w:rsid w:val="005A4494"/>
    <w:rsid w:val="005A57D4"/>
    <w:rsid w:val="005A6206"/>
    <w:rsid w:val="005A66CB"/>
    <w:rsid w:val="005A6CC3"/>
    <w:rsid w:val="005B0F9A"/>
    <w:rsid w:val="005B5B8B"/>
    <w:rsid w:val="005B74E9"/>
    <w:rsid w:val="005C0D8B"/>
    <w:rsid w:val="005C0FD7"/>
    <w:rsid w:val="005C1B39"/>
    <w:rsid w:val="005C2E99"/>
    <w:rsid w:val="005C33C9"/>
    <w:rsid w:val="005C41C5"/>
    <w:rsid w:val="005C6090"/>
    <w:rsid w:val="005C6212"/>
    <w:rsid w:val="005C6269"/>
    <w:rsid w:val="005C62FD"/>
    <w:rsid w:val="005C6A41"/>
    <w:rsid w:val="005C6B1C"/>
    <w:rsid w:val="005D0754"/>
    <w:rsid w:val="005D08BE"/>
    <w:rsid w:val="005D127A"/>
    <w:rsid w:val="005D2FCC"/>
    <w:rsid w:val="005D38C7"/>
    <w:rsid w:val="005D40F5"/>
    <w:rsid w:val="005D5AF3"/>
    <w:rsid w:val="005D69D7"/>
    <w:rsid w:val="005D7657"/>
    <w:rsid w:val="005D76EC"/>
    <w:rsid w:val="005E172E"/>
    <w:rsid w:val="005E304E"/>
    <w:rsid w:val="005E345A"/>
    <w:rsid w:val="005E34CD"/>
    <w:rsid w:val="005E6ACC"/>
    <w:rsid w:val="005E7BD0"/>
    <w:rsid w:val="005F16E8"/>
    <w:rsid w:val="005F294B"/>
    <w:rsid w:val="005F330B"/>
    <w:rsid w:val="005F41D9"/>
    <w:rsid w:val="005F568E"/>
    <w:rsid w:val="005F5E6E"/>
    <w:rsid w:val="005F6317"/>
    <w:rsid w:val="005F730E"/>
    <w:rsid w:val="005F78AB"/>
    <w:rsid w:val="006033AF"/>
    <w:rsid w:val="0060411C"/>
    <w:rsid w:val="0060680E"/>
    <w:rsid w:val="00607E57"/>
    <w:rsid w:val="00610458"/>
    <w:rsid w:val="00610500"/>
    <w:rsid w:val="006105B8"/>
    <w:rsid w:val="006119FE"/>
    <w:rsid w:val="00612DDB"/>
    <w:rsid w:val="006131BC"/>
    <w:rsid w:val="00613BB9"/>
    <w:rsid w:val="00614D8E"/>
    <w:rsid w:val="00615354"/>
    <w:rsid w:val="006156A7"/>
    <w:rsid w:val="00616542"/>
    <w:rsid w:val="0061740F"/>
    <w:rsid w:val="0062219E"/>
    <w:rsid w:val="006221C2"/>
    <w:rsid w:val="006240B7"/>
    <w:rsid w:val="00625100"/>
    <w:rsid w:val="006255D6"/>
    <w:rsid w:val="00625F3F"/>
    <w:rsid w:val="00630AF4"/>
    <w:rsid w:val="00630E4B"/>
    <w:rsid w:val="00631384"/>
    <w:rsid w:val="00632207"/>
    <w:rsid w:val="00633309"/>
    <w:rsid w:val="0063474D"/>
    <w:rsid w:val="006364DB"/>
    <w:rsid w:val="006411A8"/>
    <w:rsid w:val="006412D7"/>
    <w:rsid w:val="00641F0E"/>
    <w:rsid w:val="0064250F"/>
    <w:rsid w:val="0064526B"/>
    <w:rsid w:val="0064573E"/>
    <w:rsid w:val="00645EA7"/>
    <w:rsid w:val="00647791"/>
    <w:rsid w:val="00647882"/>
    <w:rsid w:val="00647AFB"/>
    <w:rsid w:val="00647D1B"/>
    <w:rsid w:val="00650641"/>
    <w:rsid w:val="0065131D"/>
    <w:rsid w:val="006518B6"/>
    <w:rsid w:val="00651948"/>
    <w:rsid w:val="00651B0F"/>
    <w:rsid w:val="0065201C"/>
    <w:rsid w:val="00652158"/>
    <w:rsid w:val="00653597"/>
    <w:rsid w:val="00653A47"/>
    <w:rsid w:val="00654FB8"/>
    <w:rsid w:val="00656C31"/>
    <w:rsid w:val="00657B26"/>
    <w:rsid w:val="006624FD"/>
    <w:rsid w:val="00670605"/>
    <w:rsid w:val="006730BC"/>
    <w:rsid w:val="00674E18"/>
    <w:rsid w:val="00676797"/>
    <w:rsid w:val="006770AE"/>
    <w:rsid w:val="00677194"/>
    <w:rsid w:val="00684DC4"/>
    <w:rsid w:val="00687711"/>
    <w:rsid w:val="006879D4"/>
    <w:rsid w:val="00687B55"/>
    <w:rsid w:val="00690685"/>
    <w:rsid w:val="00690D4F"/>
    <w:rsid w:val="00691731"/>
    <w:rsid w:val="006917BD"/>
    <w:rsid w:val="00692322"/>
    <w:rsid w:val="00693534"/>
    <w:rsid w:val="006947FB"/>
    <w:rsid w:val="00695363"/>
    <w:rsid w:val="006954D7"/>
    <w:rsid w:val="00696039"/>
    <w:rsid w:val="00696590"/>
    <w:rsid w:val="00696C74"/>
    <w:rsid w:val="006A0916"/>
    <w:rsid w:val="006A1005"/>
    <w:rsid w:val="006A102E"/>
    <w:rsid w:val="006A1921"/>
    <w:rsid w:val="006A194E"/>
    <w:rsid w:val="006A2197"/>
    <w:rsid w:val="006A2682"/>
    <w:rsid w:val="006A3588"/>
    <w:rsid w:val="006A39E4"/>
    <w:rsid w:val="006A3EC3"/>
    <w:rsid w:val="006A5B46"/>
    <w:rsid w:val="006A7E85"/>
    <w:rsid w:val="006B0032"/>
    <w:rsid w:val="006B1FAE"/>
    <w:rsid w:val="006B30B9"/>
    <w:rsid w:val="006B543B"/>
    <w:rsid w:val="006B5F91"/>
    <w:rsid w:val="006B61DF"/>
    <w:rsid w:val="006B6EAD"/>
    <w:rsid w:val="006B740D"/>
    <w:rsid w:val="006C0989"/>
    <w:rsid w:val="006C176E"/>
    <w:rsid w:val="006C2846"/>
    <w:rsid w:val="006C2FBE"/>
    <w:rsid w:val="006C3047"/>
    <w:rsid w:val="006C3AE3"/>
    <w:rsid w:val="006D049E"/>
    <w:rsid w:val="006D19AC"/>
    <w:rsid w:val="006D3159"/>
    <w:rsid w:val="006D391A"/>
    <w:rsid w:val="006D514C"/>
    <w:rsid w:val="006D5481"/>
    <w:rsid w:val="006D595C"/>
    <w:rsid w:val="006D6581"/>
    <w:rsid w:val="006E0876"/>
    <w:rsid w:val="006E1685"/>
    <w:rsid w:val="006E1CE4"/>
    <w:rsid w:val="006E3998"/>
    <w:rsid w:val="006E53F3"/>
    <w:rsid w:val="006E65A9"/>
    <w:rsid w:val="006E6B3A"/>
    <w:rsid w:val="006E72F0"/>
    <w:rsid w:val="006E7538"/>
    <w:rsid w:val="006F00B9"/>
    <w:rsid w:val="006F2006"/>
    <w:rsid w:val="006F22C4"/>
    <w:rsid w:val="006F3358"/>
    <w:rsid w:val="006F43EA"/>
    <w:rsid w:val="006F486D"/>
    <w:rsid w:val="006F4C49"/>
    <w:rsid w:val="006F5E56"/>
    <w:rsid w:val="006F6566"/>
    <w:rsid w:val="006F6A27"/>
    <w:rsid w:val="006F770A"/>
    <w:rsid w:val="00700EE2"/>
    <w:rsid w:val="0070172E"/>
    <w:rsid w:val="00701ACF"/>
    <w:rsid w:val="007024ED"/>
    <w:rsid w:val="0070336C"/>
    <w:rsid w:val="0070491A"/>
    <w:rsid w:val="00705BEE"/>
    <w:rsid w:val="00706BB6"/>
    <w:rsid w:val="00707F1F"/>
    <w:rsid w:val="00711AEC"/>
    <w:rsid w:val="00711F6E"/>
    <w:rsid w:val="007134FF"/>
    <w:rsid w:val="00714B17"/>
    <w:rsid w:val="00714E1B"/>
    <w:rsid w:val="00723138"/>
    <w:rsid w:val="0072321E"/>
    <w:rsid w:val="00723F73"/>
    <w:rsid w:val="00726054"/>
    <w:rsid w:val="007261E8"/>
    <w:rsid w:val="00726585"/>
    <w:rsid w:val="007265CD"/>
    <w:rsid w:val="007274E7"/>
    <w:rsid w:val="00727CFE"/>
    <w:rsid w:val="00730605"/>
    <w:rsid w:val="0073232B"/>
    <w:rsid w:val="00734EE1"/>
    <w:rsid w:val="007352A6"/>
    <w:rsid w:val="00736FB2"/>
    <w:rsid w:val="00737098"/>
    <w:rsid w:val="007405D4"/>
    <w:rsid w:val="0074075E"/>
    <w:rsid w:val="00740E38"/>
    <w:rsid w:val="00742154"/>
    <w:rsid w:val="00743DB6"/>
    <w:rsid w:val="00745E96"/>
    <w:rsid w:val="007471A1"/>
    <w:rsid w:val="00747CE1"/>
    <w:rsid w:val="00750A90"/>
    <w:rsid w:val="00754CB3"/>
    <w:rsid w:val="007556DA"/>
    <w:rsid w:val="00755FA3"/>
    <w:rsid w:val="0075623D"/>
    <w:rsid w:val="007569BF"/>
    <w:rsid w:val="00756FF3"/>
    <w:rsid w:val="007576B6"/>
    <w:rsid w:val="0076000D"/>
    <w:rsid w:val="0076076F"/>
    <w:rsid w:val="0076311D"/>
    <w:rsid w:val="00763D86"/>
    <w:rsid w:val="00763F84"/>
    <w:rsid w:val="00764342"/>
    <w:rsid w:val="007678A9"/>
    <w:rsid w:val="007709C9"/>
    <w:rsid w:val="00772D7D"/>
    <w:rsid w:val="00774E50"/>
    <w:rsid w:val="00774E97"/>
    <w:rsid w:val="007755AD"/>
    <w:rsid w:val="0078369D"/>
    <w:rsid w:val="00783771"/>
    <w:rsid w:val="007844C9"/>
    <w:rsid w:val="0078653A"/>
    <w:rsid w:val="00787127"/>
    <w:rsid w:val="00787205"/>
    <w:rsid w:val="00790908"/>
    <w:rsid w:val="00790ABC"/>
    <w:rsid w:val="00790DCA"/>
    <w:rsid w:val="00791AC9"/>
    <w:rsid w:val="00791EBF"/>
    <w:rsid w:val="00792CD0"/>
    <w:rsid w:val="007A014E"/>
    <w:rsid w:val="007A3BC8"/>
    <w:rsid w:val="007A3F27"/>
    <w:rsid w:val="007A427E"/>
    <w:rsid w:val="007A43AC"/>
    <w:rsid w:val="007A609F"/>
    <w:rsid w:val="007A725A"/>
    <w:rsid w:val="007A744A"/>
    <w:rsid w:val="007B143F"/>
    <w:rsid w:val="007B1AA0"/>
    <w:rsid w:val="007B2E86"/>
    <w:rsid w:val="007B2EA4"/>
    <w:rsid w:val="007B5BD2"/>
    <w:rsid w:val="007B68E5"/>
    <w:rsid w:val="007B75BD"/>
    <w:rsid w:val="007B7A66"/>
    <w:rsid w:val="007B7F13"/>
    <w:rsid w:val="007C011D"/>
    <w:rsid w:val="007C0B4C"/>
    <w:rsid w:val="007C16BA"/>
    <w:rsid w:val="007C29DE"/>
    <w:rsid w:val="007C51C6"/>
    <w:rsid w:val="007C627E"/>
    <w:rsid w:val="007C63DC"/>
    <w:rsid w:val="007D168D"/>
    <w:rsid w:val="007D16D3"/>
    <w:rsid w:val="007D1E26"/>
    <w:rsid w:val="007D25E8"/>
    <w:rsid w:val="007D2C49"/>
    <w:rsid w:val="007D2C9C"/>
    <w:rsid w:val="007D2E3C"/>
    <w:rsid w:val="007D58E8"/>
    <w:rsid w:val="007D597A"/>
    <w:rsid w:val="007D637C"/>
    <w:rsid w:val="007D6C4F"/>
    <w:rsid w:val="007D73AC"/>
    <w:rsid w:val="007D73F1"/>
    <w:rsid w:val="007E09B2"/>
    <w:rsid w:val="007E3931"/>
    <w:rsid w:val="007E4770"/>
    <w:rsid w:val="007E49F7"/>
    <w:rsid w:val="007E5742"/>
    <w:rsid w:val="007E5A10"/>
    <w:rsid w:val="007E69B4"/>
    <w:rsid w:val="007E6A81"/>
    <w:rsid w:val="007E6EF4"/>
    <w:rsid w:val="007E7D10"/>
    <w:rsid w:val="007E7DB1"/>
    <w:rsid w:val="007F131A"/>
    <w:rsid w:val="007F15EE"/>
    <w:rsid w:val="007F1A71"/>
    <w:rsid w:val="007F1E5D"/>
    <w:rsid w:val="007F50FC"/>
    <w:rsid w:val="007F7062"/>
    <w:rsid w:val="007F710C"/>
    <w:rsid w:val="007F7588"/>
    <w:rsid w:val="00800C50"/>
    <w:rsid w:val="00800E1C"/>
    <w:rsid w:val="00801FDF"/>
    <w:rsid w:val="00806818"/>
    <w:rsid w:val="00807B81"/>
    <w:rsid w:val="008109D4"/>
    <w:rsid w:val="0081127D"/>
    <w:rsid w:val="00811619"/>
    <w:rsid w:val="00812BA2"/>
    <w:rsid w:val="00814901"/>
    <w:rsid w:val="00817394"/>
    <w:rsid w:val="0082031F"/>
    <w:rsid w:val="00821370"/>
    <w:rsid w:val="0082186A"/>
    <w:rsid w:val="0082261B"/>
    <w:rsid w:val="00822801"/>
    <w:rsid w:val="00822D1F"/>
    <w:rsid w:val="00822D93"/>
    <w:rsid w:val="00822FD1"/>
    <w:rsid w:val="0082376D"/>
    <w:rsid w:val="008261CE"/>
    <w:rsid w:val="00827FEB"/>
    <w:rsid w:val="008321D2"/>
    <w:rsid w:val="0083286B"/>
    <w:rsid w:val="00832AC0"/>
    <w:rsid w:val="00834FBE"/>
    <w:rsid w:val="008351A0"/>
    <w:rsid w:val="008361A6"/>
    <w:rsid w:val="008367AC"/>
    <w:rsid w:val="00840598"/>
    <w:rsid w:val="00840E28"/>
    <w:rsid w:val="00842284"/>
    <w:rsid w:val="00843179"/>
    <w:rsid w:val="00843AF7"/>
    <w:rsid w:val="00844BF2"/>
    <w:rsid w:val="00844DA7"/>
    <w:rsid w:val="00847261"/>
    <w:rsid w:val="008507E9"/>
    <w:rsid w:val="00852881"/>
    <w:rsid w:val="008545EF"/>
    <w:rsid w:val="00856783"/>
    <w:rsid w:val="008570AC"/>
    <w:rsid w:val="00857AA7"/>
    <w:rsid w:val="00861441"/>
    <w:rsid w:val="008623DC"/>
    <w:rsid w:val="00863C4E"/>
    <w:rsid w:val="00866CF1"/>
    <w:rsid w:val="00866F30"/>
    <w:rsid w:val="00866F70"/>
    <w:rsid w:val="00867259"/>
    <w:rsid w:val="008708D6"/>
    <w:rsid w:val="00871A09"/>
    <w:rsid w:val="00880F40"/>
    <w:rsid w:val="00881DEE"/>
    <w:rsid w:val="00882768"/>
    <w:rsid w:val="00882DFC"/>
    <w:rsid w:val="00883345"/>
    <w:rsid w:val="00890CA0"/>
    <w:rsid w:val="00891557"/>
    <w:rsid w:val="00891B22"/>
    <w:rsid w:val="00893E41"/>
    <w:rsid w:val="0089655C"/>
    <w:rsid w:val="00896782"/>
    <w:rsid w:val="00896B72"/>
    <w:rsid w:val="00897095"/>
    <w:rsid w:val="00897228"/>
    <w:rsid w:val="00897239"/>
    <w:rsid w:val="008974D9"/>
    <w:rsid w:val="008976F7"/>
    <w:rsid w:val="008A0404"/>
    <w:rsid w:val="008A2F61"/>
    <w:rsid w:val="008A5405"/>
    <w:rsid w:val="008A735D"/>
    <w:rsid w:val="008B48C1"/>
    <w:rsid w:val="008B51AF"/>
    <w:rsid w:val="008B758B"/>
    <w:rsid w:val="008C14C0"/>
    <w:rsid w:val="008C2AEB"/>
    <w:rsid w:val="008C355E"/>
    <w:rsid w:val="008C3CB0"/>
    <w:rsid w:val="008C40B6"/>
    <w:rsid w:val="008C40F6"/>
    <w:rsid w:val="008C4429"/>
    <w:rsid w:val="008C65FF"/>
    <w:rsid w:val="008C70B1"/>
    <w:rsid w:val="008D022E"/>
    <w:rsid w:val="008D05EC"/>
    <w:rsid w:val="008D12DE"/>
    <w:rsid w:val="008D2BE5"/>
    <w:rsid w:val="008D5C3F"/>
    <w:rsid w:val="008D733B"/>
    <w:rsid w:val="008D79A8"/>
    <w:rsid w:val="008E05A2"/>
    <w:rsid w:val="008E07AF"/>
    <w:rsid w:val="008E3E03"/>
    <w:rsid w:val="008E3E53"/>
    <w:rsid w:val="008E3F28"/>
    <w:rsid w:val="008E4330"/>
    <w:rsid w:val="008E5C41"/>
    <w:rsid w:val="008E6F52"/>
    <w:rsid w:val="008E7570"/>
    <w:rsid w:val="008E7926"/>
    <w:rsid w:val="008E7A02"/>
    <w:rsid w:val="008F048B"/>
    <w:rsid w:val="008F0532"/>
    <w:rsid w:val="008F35BC"/>
    <w:rsid w:val="008F46D3"/>
    <w:rsid w:val="008F4B48"/>
    <w:rsid w:val="008F4F37"/>
    <w:rsid w:val="008F51B8"/>
    <w:rsid w:val="008F5AF2"/>
    <w:rsid w:val="008F7873"/>
    <w:rsid w:val="00903303"/>
    <w:rsid w:val="00905449"/>
    <w:rsid w:val="0090591B"/>
    <w:rsid w:val="009060D8"/>
    <w:rsid w:val="00910358"/>
    <w:rsid w:val="009103C0"/>
    <w:rsid w:val="00912A2E"/>
    <w:rsid w:val="00913192"/>
    <w:rsid w:val="0091622E"/>
    <w:rsid w:val="009172B5"/>
    <w:rsid w:val="00917E00"/>
    <w:rsid w:val="009202DC"/>
    <w:rsid w:val="00921023"/>
    <w:rsid w:val="00921B91"/>
    <w:rsid w:val="00922A91"/>
    <w:rsid w:val="009233F2"/>
    <w:rsid w:val="00926919"/>
    <w:rsid w:val="00927F46"/>
    <w:rsid w:val="00927F94"/>
    <w:rsid w:val="009305B4"/>
    <w:rsid w:val="00931747"/>
    <w:rsid w:val="009327A9"/>
    <w:rsid w:val="0093347E"/>
    <w:rsid w:val="009362E0"/>
    <w:rsid w:val="00936A68"/>
    <w:rsid w:val="009401E6"/>
    <w:rsid w:val="00940F14"/>
    <w:rsid w:val="00941607"/>
    <w:rsid w:val="0094202C"/>
    <w:rsid w:val="0094261D"/>
    <w:rsid w:val="0094371E"/>
    <w:rsid w:val="009442B6"/>
    <w:rsid w:val="00946061"/>
    <w:rsid w:val="00951358"/>
    <w:rsid w:val="009521F4"/>
    <w:rsid w:val="00952874"/>
    <w:rsid w:val="00954771"/>
    <w:rsid w:val="009550E0"/>
    <w:rsid w:val="00955608"/>
    <w:rsid w:val="00955A04"/>
    <w:rsid w:val="00955BFF"/>
    <w:rsid w:val="00956393"/>
    <w:rsid w:val="0095734A"/>
    <w:rsid w:val="009602C1"/>
    <w:rsid w:val="0096267B"/>
    <w:rsid w:val="009673B7"/>
    <w:rsid w:val="0096746E"/>
    <w:rsid w:val="00970660"/>
    <w:rsid w:val="00971680"/>
    <w:rsid w:val="00971DC5"/>
    <w:rsid w:val="00974E37"/>
    <w:rsid w:val="0097551C"/>
    <w:rsid w:val="009776EF"/>
    <w:rsid w:val="00980235"/>
    <w:rsid w:val="00980725"/>
    <w:rsid w:val="00981CD8"/>
    <w:rsid w:val="00982BA7"/>
    <w:rsid w:val="00982FEA"/>
    <w:rsid w:val="00983AB7"/>
    <w:rsid w:val="00983FAA"/>
    <w:rsid w:val="00984BC5"/>
    <w:rsid w:val="009858FA"/>
    <w:rsid w:val="00986972"/>
    <w:rsid w:val="009907E3"/>
    <w:rsid w:val="009927C4"/>
    <w:rsid w:val="00992E46"/>
    <w:rsid w:val="00994B92"/>
    <w:rsid w:val="00996538"/>
    <w:rsid w:val="009978E6"/>
    <w:rsid w:val="009A1A89"/>
    <w:rsid w:val="009A1ADD"/>
    <w:rsid w:val="009A273D"/>
    <w:rsid w:val="009A2E84"/>
    <w:rsid w:val="009A3683"/>
    <w:rsid w:val="009A3794"/>
    <w:rsid w:val="009A4279"/>
    <w:rsid w:val="009A6C2E"/>
    <w:rsid w:val="009A7365"/>
    <w:rsid w:val="009B193C"/>
    <w:rsid w:val="009B298D"/>
    <w:rsid w:val="009B2CE5"/>
    <w:rsid w:val="009B2D5B"/>
    <w:rsid w:val="009B2F86"/>
    <w:rsid w:val="009B3141"/>
    <w:rsid w:val="009B3450"/>
    <w:rsid w:val="009B34AB"/>
    <w:rsid w:val="009B3948"/>
    <w:rsid w:val="009B3C1F"/>
    <w:rsid w:val="009C3471"/>
    <w:rsid w:val="009C3757"/>
    <w:rsid w:val="009C4D8A"/>
    <w:rsid w:val="009C5D45"/>
    <w:rsid w:val="009C60B3"/>
    <w:rsid w:val="009D011E"/>
    <w:rsid w:val="009D1F00"/>
    <w:rsid w:val="009D27AD"/>
    <w:rsid w:val="009D28F0"/>
    <w:rsid w:val="009D2F4A"/>
    <w:rsid w:val="009D39DA"/>
    <w:rsid w:val="009D49C6"/>
    <w:rsid w:val="009D5038"/>
    <w:rsid w:val="009D5272"/>
    <w:rsid w:val="009D593B"/>
    <w:rsid w:val="009D6DB0"/>
    <w:rsid w:val="009D75A4"/>
    <w:rsid w:val="009D7F58"/>
    <w:rsid w:val="009E0331"/>
    <w:rsid w:val="009E0F38"/>
    <w:rsid w:val="009E20E2"/>
    <w:rsid w:val="009E3103"/>
    <w:rsid w:val="009E6AB0"/>
    <w:rsid w:val="009E7F0A"/>
    <w:rsid w:val="009F0477"/>
    <w:rsid w:val="009F1803"/>
    <w:rsid w:val="009F34EB"/>
    <w:rsid w:val="00A007DB"/>
    <w:rsid w:val="00A0382F"/>
    <w:rsid w:val="00A04D95"/>
    <w:rsid w:val="00A05FE6"/>
    <w:rsid w:val="00A07B2D"/>
    <w:rsid w:val="00A10046"/>
    <w:rsid w:val="00A1169B"/>
    <w:rsid w:val="00A1217D"/>
    <w:rsid w:val="00A14CC1"/>
    <w:rsid w:val="00A17D48"/>
    <w:rsid w:val="00A20BAB"/>
    <w:rsid w:val="00A219A1"/>
    <w:rsid w:val="00A2285B"/>
    <w:rsid w:val="00A24474"/>
    <w:rsid w:val="00A25061"/>
    <w:rsid w:val="00A25522"/>
    <w:rsid w:val="00A319C3"/>
    <w:rsid w:val="00A320F0"/>
    <w:rsid w:val="00A3545F"/>
    <w:rsid w:val="00A36155"/>
    <w:rsid w:val="00A36357"/>
    <w:rsid w:val="00A3793F"/>
    <w:rsid w:val="00A40FAD"/>
    <w:rsid w:val="00A40FE8"/>
    <w:rsid w:val="00A429F6"/>
    <w:rsid w:val="00A43107"/>
    <w:rsid w:val="00A46481"/>
    <w:rsid w:val="00A4661C"/>
    <w:rsid w:val="00A46F0F"/>
    <w:rsid w:val="00A471D1"/>
    <w:rsid w:val="00A47B27"/>
    <w:rsid w:val="00A54212"/>
    <w:rsid w:val="00A54461"/>
    <w:rsid w:val="00A5513F"/>
    <w:rsid w:val="00A55376"/>
    <w:rsid w:val="00A56D14"/>
    <w:rsid w:val="00A57A97"/>
    <w:rsid w:val="00A57ADB"/>
    <w:rsid w:val="00A60068"/>
    <w:rsid w:val="00A60A5A"/>
    <w:rsid w:val="00A61E84"/>
    <w:rsid w:val="00A634F5"/>
    <w:rsid w:val="00A638A5"/>
    <w:rsid w:val="00A63CFF"/>
    <w:rsid w:val="00A64940"/>
    <w:rsid w:val="00A65EA8"/>
    <w:rsid w:val="00A66F8E"/>
    <w:rsid w:val="00A67FF3"/>
    <w:rsid w:val="00A707A3"/>
    <w:rsid w:val="00A70C20"/>
    <w:rsid w:val="00A7264D"/>
    <w:rsid w:val="00A736B2"/>
    <w:rsid w:val="00A739B0"/>
    <w:rsid w:val="00A73CE4"/>
    <w:rsid w:val="00A7422B"/>
    <w:rsid w:val="00A745A3"/>
    <w:rsid w:val="00A74988"/>
    <w:rsid w:val="00A74F20"/>
    <w:rsid w:val="00A74F84"/>
    <w:rsid w:val="00A77F29"/>
    <w:rsid w:val="00A80969"/>
    <w:rsid w:val="00A8247F"/>
    <w:rsid w:val="00A832BC"/>
    <w:rsid w:val="00A835AE"/>
    <w:rsid w:val="00A83780"/>
    <w:rsid w:val="00A83D7A"/>
    <w:rsid w:val="00A84625"/>
    <w:rsid w:val="00A91A1F"/>
    <w:rsid w:val="00A946A1"/>
    <w:rsid w:val="00A9615A"/>
    <w:rsid w:val="00A96578"/>
    <w:rsid w:val="00AA02A5"/>
    <w:rsid w:val="00AA0F65"/>
    <w:rsid w:val="00AA2746"/>
    <w:rsid w:val="00AA68C9"/>
    <w:rsid w:val="00AB3D4B"/>
    <w:rsid w:val="00AB49A3"/>
    <w:rsid w:val="00AB6DF1"/>
    <w:rsid w:val="00AB7720"/>
    <w:rsid w:val="00AB7BA0"/>
    <w:rsid w:val="00AB7C71"/>
    <w:rsid w:val="00AC142B"/>
    <w:rsid w:val="00AC2137"/>
    <w:rsid w:val="00AC47D3"/>
    <w:rsid w:val="00AC4AA8"/>
    <w:rsid w:val="00AC53E0"/>
    <w:rsid w:val="00AC5752"/>
    <w:rsid w:val="00AC5C18"/>
    <w:rsid w:val="00AC67AE"/>
    <w:rsid w:val="00AC738C"/>
    <w:rsid w:val="00AD113F"/>
    <w:rsid w:val="00AD423B"/>
    <w:rsid w:val="00AD4955"/>
    <w:rsid w:val="00AD50BB"/>
    <w:rsid w:val="00AD5BF5"/>
    <w:rsid w:val="00AE176F"/>
    <w:rsid w:val="00AE1C7F"/>
    <w:rsid w:val="00AE23E4"/>
    <w:rsid w:val="00AE2A38"/>
    <w:rsid w:val="00AE34E8"/>
    <w:rsid w:val="00AE5A71"/>
    <w:rsid w:val="00AE7042"/>
    <w:rsid w:val="00AE7D75"/>
    <w:rsid w:val="00AF0B11"/>
    <w:rsid w:val="00AF0C5E"/>
    <w:rsid w:val="00AF12BD"/>
    <w:rsid w:val="00AF14C2"/>
    <w:rsid w:val="00AF317B"/>
    <w:rsid w:val="00AF42CE"/>
    <w:rsid w:val="00AF45F1"/>
    <w:rsid w:val="00AF50DE"/>
    <w:rsid w:val="00AF56EF"/>
    <w:rsid w:val="00AF6C75"/>
    <w:rsid w:val="00B00050"/>
    <w:rsid w:val="00B0088A"/>
    <w:rsid w:val="00B00CA9"/>
    <w:rsid w:val="00B00F6F"/>
    <w:rsid w:val="00B02843"/>
    <w:rsid w:val="00B04B43"/>
    <w:rsid w:val="00B057AA"/>
    <w:rsid w:val="00B06325"/>
    <w:rsid w:val="00B06580"/>
    <w:rsid w:val="00B102B7"/>
    <w:rsid w:val="00B1074A"/>
    <w:rsid w:val="00B10DDA"/>
    <w:rsid w:val="00B117B7"/>
    <w:rsid w:val="00B1513C"/>
    <w:rsid w:val="00B15358"/>
    <w:rsid w:val="00B15572"/>
    <w:rsid w:val="00B16035"/>
    <w:rsid w:val="00B16A2B"/>
    <w:rsid w:val="00B204BB"/>
    <w:rsid w:val="00B21604"/>
    <w:rsid w:val="00B22675"/>
    <w:rsid w:val="00B24417"/>
    <w:rsid w:val="00B2497B"/>
    <w:rsid w:val="00B24E87"/>
    <w:rsid w:val="00B31A5D"/>
    <w:rsid w:val="00B31FE2"/>
    <w:rsid w:val="00B32CA8"/>
    <w:rsid w:val="00B333B4"/>
    <w:rsid w:val="00B35B93"/>
    <w:rsid w:val="00B36092"/>
    <w:rsid w:val="00B4144A"/>
    <w:rsid w:val="00B43498"/>
    <w:rsid w:val="00B43BEC"/>
    <w:rsid w:val="00B43E94"/>
    <w:rsid w:val="00B464C9"/>
    <w:rsid w:val="00B4650D"/>
    <w:rsid w:val="00B469DC"/>
    <w:rsid w:val="00B47C8E"/>
    <w:rsid w:val="00B509C4"/>
    <w:rsid w:val="00B50A87"/>
    <w:rsid w:val="00B515F9"/>
    <w:rsid w:val="00B53FEA"/>
    <w:rsid w:val="00B54910"/>
    <w:rsid w:val="00B551BA"/>
    <w:rsid w:val="00B5603E"/>
    <w:rsid w:val="00B6001F"/>
    <w:rsid w:val="00B614E7"/>
    <w:rsid w:val="00B6178F"/>
    <w:rsid w:val="00B63491"/>
    <w:rsid w:val="00B65399"/>
    <w:rsid w:val="00B662FA"/>
    <w:rsid w:val="00B67B88"/>
    <w:rsid w:val="00B720E8"/>
    <w:rsid w:val="00B74602"/>
    <w:rsid w:val="00B7507D"/>
    <w:rsid w:val="00B75201"/>
    <w:rsid w:val="00B7653B"/>
    <w:rsid w:val="00B76A06"/>
    <w:rsid w:val="00B8247F"/>
    <w:rsid w:val="00B85435"/>
    <w:rsid w:val="00B86614"/>
    <w:rsid w:val="00B86C9C"/>
    <w:rsid w:val="00B8703E"/>
    <w:rsid w:val="00B87978"/>
    <w:rsid w:val="00B879E2"/>
    <w:rsid w:val="00B90A6C"/>
    <w:rsid w:val="00B910DC"/>
    <w:rsid w:val="00B91945"/>
    <w:rsid w:val="00B91CEC"/>
    <w:rsid w:val="00B92844"/>
    <w:rsid w:val="00B932D4"/>
    <w:rsid w:val="00B93AC6"/>
    <w:rsid w:val="00B93B23"/>
    <w:rsid w:val="00B93D06"/>
    <w:rsid w:val="00B94AFD"/>
    <w:rsid w:val="00B94CB9"/>
    <w:rsid w:val="00B97F07"/>
    <w:rsid w:val="00B97F7C"/>
    <w:rsid w:val="00BA12BE"/>
    <w:rsid w:val="00BA2A90"/>
    <w:rsid w:val="00BA4B45"/>
    <w:rsid w:val="00BA51B7"/>
    <w:rsid w:val="00BA51CB"/>
    <w:rsid w:val="00BA5C69"/>
    <w:rsid w:val="00BA659D"/>
    <w:rsid w:val="00BA6AE0"/>
    <w:rsid w:val="00BB15E0"/>
    <w:rsid w:val="00BB1710"/>
    <w:rsid w:val="00BB1ED6"/>
    <w:rsid w:val="00BB1F33"/>
    <w:rsid w:val="00BB2141"/>
    <w:rsid w:val="00BB2EAE"/>
    <w:rsid w:val="00BB2FE8"/>
    <w:rsid w:val="00BB38BA"/>
    <w:rsid w:val="00BB4879"/>
    <w:rsid w:val="00BB4BEC"/>
    <w:rsid w:val="00BC3FEF"/>
    <w:rsid w:val="00BC559E"/>
    <w:rsid w:val="00BC5DC7"/>
    <w:rsid w:val="00BC6049"/>
    <w:rsid w:val="00BD0159"/>
    <w:rsid w:val="00BD03EA"/>
    <w:rsid w:val="00BD0474"/>
    <w:rsid w:val="00BD31F5"/>
    <w:rsid w:val="00BD354A"/>
    <w:rsid w:val="00BD37EB"/>
    <w:rsid w:val="00BD45A7"/>
    <w:rsid w:val="00BD4E85"/>
    <w:rsid w:val="00BD52F3"/>
    <w:rsid w:val="00BD79B5"/>
    <w:rsid w:val="00BD7FBD"/>
    <w:rsid w:val="00BE13AF"/>
    <w:rsid w:val="00BE215F"/>
    <w:rsid w:val="00BE2704"/>
    <w:rsid w:val="00BE2F28"/>
    <w:rsid w:val="00BE33C1"/>
    <w:rsid w:val="00BE3965"/>
    <w:rsid w:val="00BE441C"/>
    <w:rsid w:val="00BE52E7"/>
    <w:rsid w:val="00BE555D"/>
    <w:rsid w:val="00BE5873"/>
    <w:rsid w:val="00BF1723"/>
    <w:rsid w:val="00BF1ACD"/>
    <w:rsid w:val="00BF1B0A"/>
    <w:rsid w:val="00BF2EC0"/>
    <w:rsid w:val="00BF3195"/>
    <w:rsid w:val="00BF376E"/>
    <w:rsid w:val="00BF3F6C"/>
    <w:rsid w:val="00BF4045"/>
    <w:rsid w:val="00BF7325"/>
    <w:rsid w:val="00C00BC1"/>
    <w:rsid w:val="00C0135C"/>
    <w:rsid w:val="00C013DF"/>
    <w:rsid w:val="00C0141C"/>
    <w:rsid w:val="00C02812"/>
    <w:rsid w:val="00C0390E"/>
    <w:rsid w:val="00C0450E"/>
    <w:rsid w:val="00C073B7"/>
    <w:rsid w:val="00C11C3B"/>
    <w:rsid w:val="00C12EB7"/>
    <w:rsid w:val="00C12F3E"/>
    <w:rsid w:val="00C15349"/>
    <w:rsid w:val="00C20F40"/>
    <w:rsid w:val="00C24D7E"/>
    <w:rsid w:val="00C24DFD"/>
    <w:rsid w:val="00C25986"/>
    <w:rsid w:val="00C3047A"/>
    <w:rsid w:val="00C30707"/>
    <w:rsid w:val="00C3141D"/>
    <w:rsid w:val="00C31609"/>
    <w:rsid w:val="00C31A13"/>
    <w:rsid w:val="00C320A2"/>
    <w:rsid w:val="00C32950"/>
    <w:rsid w:val="00C330D0"/>
    <w:rsid w:val="00C33ACE"/>
    <w:rsid w:val="00C33AEB"/>
    <w:rsid w:val="00C343BF"/>
    <w:rsid w:val="00C34B0C"/>
    <w:rsid w:val="00C364A3"/>
    <w:rsid w:val="00C36797"/>
    <w:rsid w:val="00C40028"/>
    <w:rsid w:val="00C407C0"/>
    <w:rsid w:val="00C42EA3"/>
    <w:rsid w:val="00C44549"/>
    <w:rsid w:val="00C44893"/>
    <w:rsid w:val="00C4505D"/>
    <w:rsid w:val="00C4706A"/>
    <w:rsid w:val="00C513A4"/>
    <w:rsid w:val="00C5297E"/>
    <w:rsid w:val="00C53259"/>
    <w:rsid w:val="00C566FF"/>
    <w:rsid w:val="00C570DF"/>
    <w:rsid w:val="00C57539"/>
    <w:rsid w:val="00C613F6"/>
    <w:rsid w:val="00C61D19"/>
    <w:rsid w:val="00C6416E"/>
    <w:rsid w:val="00C647AF"/>
    <w:rsid w:val="00C6512A"/>
    <w:rsid w:val="00C66FF3"/>
    <w:rsid w:val="00C70C32"/>
    <w:rsid w:val="00C70FC0"/>
    <w:rsid w:val="00C722B1"/>
    <w:rsid w:val="00C72903"/>
    <w:rsid w:val="00C732F5"/>
    <w:rsid w:val="00C746BB"/>
    <w:rsid w:val="00C74700"/>
    <w:rsid w:val="00C74DC6"/>
    <w:rsid w:val="00C7610A"/>
    <w:rsid w:val="00C779C2"/>
    <w:rsid w:val="00C77D1A"/>
    <w:rsid w:val="00C813DE"/>
    <w:rsid w:val="00C81A68"/>
    <w:rsid w:val="00C82196"/>
    <w:rsid w:val="00C82FCC"/>
    <w:rsid w:val="00C8351A"/>
    <w:rsid w:val="00C8451F"/>
    <w:rsid w:val="00C84B19"/>
    <w:rsid w:val="00C85205"/>
    <w:rsid w:val="00C85845"/>
    <w:rsid w:val="00C85AF0"/>
    <w:rsid w:val="00C904CC"/>
    <w:rsid w:val="00C90CA6"/>
    <w:rsid w:val="00C90D89"/>
    <w:rsid w:val="00C90FF9"/>
    <w:rsid w:val="00C916AD"/>
    <w:rsid w:val="00C919AB"/>
    <w:rsid w:val="00C927CF"/>
    <w:rsid w:val="00C9292E"/>
    <w:rsid w:val="00C92E04"/>
    <w:rsid w:val="00C93EAF"/>
    <w:rsid w:val="00C96737"/>
    <w:rsid w:val="00C976BD"/>
    <w:rsid w:val="00C97BC5"/>
    <w:rsid w:val="00CA1865"/>
    <w:rsid w:val="00CA3363"/>
    <w:rsid w:val="00CA3EBC"/>
    <w:rsid w:val="00CA5438"/>
    <w:rsid w:val="00CA7A74"/>
    <w:rsid w:val="00CA7BDB"/>
    <w:rsid w:val="00CB0028"/>
    <w:rsid w:val="00CB0EA1"/>
    <w:rsid w:val="00CB31A6"/>
    <w:rsid w:val="00CB3BB2"/>
    <w:rsid w:val="00CB49D7"/>
    <w:rsid w:val="00CB6373"/>
    <w:rsid w:val="00CB6D30"/>
    <w:rsid w:val="00CB7936"/>
    <w:rsid w:val="00CC3BA4"/>
    <w:rsid w:val="00CC5316"/>
    <w:rsid w:val="00CC53CC"/>
    <w:rsid w:val="00CC66AF"/>
    <w:rsid w:val="00CC6EFA"/>
    <w:rsid w:val="00CC7882"/>
    <w:rsid w:val="00CC79E4"/>
    <w:rsid w:val="00CD12F5"/>
    <w:rsid w:val="00CD1E84"/>
    <w:rsid w:val="00CD2B6D"/>
    <w:rsid w:val="00CD30D3"/>
    <w:rsid w:val="00CD464A"/>
    <w:rsid w:val="00CD49D0"/>
    <w:rsid w:val="00CD4A9B"/>
    <w:rsid w:val="00CD5599"/>
    <w:rsid w:val="00CD5F15"/>
    <w:rsid w:val="00CD6093"/>
    <w:rsid w:val="00CE06AD"/>
    <w:rsid w:val="00CE0E10"/>
    <w:rsid w:val="00CE177F"/>
    <w:rsid w:val="00CE2998"/>
    <w:rsid w:val="00CE4D69"/>
    <w:rsid w:val="00CE4F89"/>
    <w:rsid w:val="00CE61DA"/>
    <w:rsid w:val="00CE6249"/>
    <w:rsid w:val="00CF2F7A"/>
    <w:rsid w:val="00CF4BB0"/>
    <w:rsid w:val="00CF5A1E"/>
    <w:rsid w:val="00CF6D43"/>
    <w:rsid w:val="00CF7D60"/>
    <w:rsid w:val="00CF7D97"/>
    <w:rsid w:val="00D00780"/>
    <w:rsid w:val="00D00F1A"/>
    <w:rsid w:val="00D01762"/>
    <w:rsid w:val="00D02A1D"/>
    <w:rsid w:val="00D043E4"/>
    <w:rsid w:val="00D04475"/>
    <w:rsid w:val="00D04A0D"/>
    <w:rsid w:val="00D04B16"/>
    <w:rsid w:val="00D051BB"/>
    <w:rsid w:val="00D05DB9"/>
    <w:rsid w:val="00D06DE7"/>
    <w:rsid w:val="00D07442"/>
    <w:rsid w:val="00D075A0"/>
    <w:rsid w:val="00D077BE"/>
    <w:rsid w:val="00D0799E"/>
    <w:rsid w:val="00D104E3"/>
    <w:rsid w:val="00D10842"/>
    <w:rsid w:val="00D10D00"/>
    <w:rsid w:val="00D1105C"/>
    <w:rsid w:val="00D1155C"/>
    <w:rsid w:val="00D122F2"/>
    <w:rsid w:val="00D124C5"/>
    <w:rsid w:val="00D132ED"/>
    <w:rsid w:val="00D1367B"/>
    <w:rsid w:val="00D13B6E"/>
    <w:rsid w:val="00D15C3A"/>
    <w:rsid w:val="00D1622A"/>
    <w:rsid w:val="00D16A1B"/>
    <w:rsid w:val="00D2135B"/>
    <w:rsid w:val="00D21A4D"/>
    <w:rsid w:val="00D22F78"/>
    <w:rsid w:val="00D246C8"/>
    <w:rsid w:val="00D253B2"/>
    <w:rsid w:val="00D26A0C"/>
    <w:rsid w:val="00D26E24"/>
    <w:rsid w:val="00D303B9"/>
    <w:rsid w:val="00D312EA"/>
    <w:rsid w:val="00D32D4F"/>
    <w:rsid w:val="00D32E3F"/>
    <w:rsid w:val="00D332F7"/>
    <w:rsid w:val="00D33849"/>
    <w:rsid w:val="00D35333"/>
    <w:rsid w:val="00D37744"/>
    <w:rsid w:val="00D37C17"/>
    <w:rsid w:val="00D41C80"/>
    <w:rsid w:val="00D43866"/>
    <w:rsid w:val="00D4467F"/>
    <w:rsid w:val="00D4587E"/>
    <w:rsid w:val="00D467F6"/>
    <w:rsid w:val="00D469BB"/>
    <w:rsid w:val="00D509F8"/>
    <w:rsid w:val="00D50AF8"/>
    <w:rsid w:val="00D53490"/>
    <w:rsid w:val="00D53BA1"/>
    <w:rsid w:val="00D54AB9"/>
    <w:rsid w:val="00D5548A"/>
    <w:rsid w:val="00D55558"/>
    <w:rsid w:val="00D578CB"/>
    <w:rsid w:val="00D57D5B"/>
    <w:rsid w:val="00D6219D"/>
    <w:rsid w:val="00D6258C"/>
    <w:rsid w:val="00D6303F"/>
    <w:rsid w:val="00D634DF"/>
    <w:rsid w:val="00D63673"/>
    <w:rsid w:val="00D63DD0"/>
    <w:rsid w:val="00D643AC"/>
    <w:rsid w:val="00D65B7B"/>
    <w:rsid w:val="00D65E4B"/>
    <w:rsid w:val="00D66C26"/>
    <w:rsid w:val="00D66E2E"/>
    <w:rsid w:val="00D67827"/>
    <w:rsid w:val="00D7089E"/>
    <w:rsid w:val="00D70CA2"/>
    <w:rsid w:val="00D71F2E"/>
    <w:rsid w:val="00D73A4B"/>
    <w:rsid w:val="00D73F4C"/>
    <w:rsid w:val="00D74AAD"/>
    <w:rsid w:val="00D74E5F"/>
    <w:rsid w:val="00D765E4"/>
    <w:rsid w:val="00D77B61"/>
    <w:rsid w:val="00D8031B"/>
    <w:rsid w:val="00D8151F"/>
    <w:rsid w:val="00D81680"/>
    <w:rsid w:val="00D82874"/>
    <w:rsid w:val="00D8393C"/>
    <w:rsid w:val="00D83EC8"/>
    <w:rsid w:val="00D84C9D"/>
    <w:rsid w:val="00D878AA"/>
    <w:rsid w:val="00D878E2"/>
    <w:rsid w:val="00D87FFC"/>
    <w:rsid w:val="00D90DC5"/>
    <w:rsid w:val="00D91273"/>
    <w:rsid w:val="00D91C83"/>
    <w:rsid w:val="00D94C63"/>
    <w:rsid w:val="00D94E06"/>
    <w:rsid w:val="00D95E9B"/>
    <w:rsid w:val="00D97339"/>
    <w:rsid w:val="00DA500C"/>
    <w:rsid w:val="00DA55F0"/>
    <w:rsid w:val="00DA6239"/>
    <w:rsid w:val="00DA7DB9"/>
    <w:rsid w:val="00DB1511"/>
    <w:rsid w:val="00DB19E8"/>
    <w:rsid w:val="00DB307B"/>
    <w:rsid w:val="00DB3842"/>
    <w:rsid w:val="00DB3CCE"/>
    <w:rsid w:val="00DB4218"/>
    <w:rsid w:val="00DB49C5"/>
    <w:rsid w:val="00DB4ECC"/>
    <w:rsid w:val="00DB5300"/>
    <w:rsid w:val="00DB5C24"/>
    <w:rsid w:val="00DB6D0C"/>
    <w:rsid w:val="00DB7054"/>
    <w:rsid w:val="00DB76F0"/>
    <w:rsid w:val="00DC09AD"/>
    <w:rsid w:val="00DC0F2F"/>
    <w:rsid w:val="00DC1514"/>
    <w:rsid w:val="00DC1682"/>
    <w:rsid w:val="00DC20F2"/>
    <w:rsid w:val="00DC212A"/>
    <w:rsid w:val="00DC28AC"/>
    <w:rsid w:val="00DC354F"/>
    <w:rsid w:val="00DC368D"/>
    <w:rsid w:val="00DC4AA1"/>
    <w:rsid w:val="00DC5DAE"/>
    <w:rsid w:val="00DC61DC"/>
    <w:rsid w:val="00DC6BCE"/>
    <w:rsid w:val="00DC6E52"/>
    <w:rsid w:val="00DC76BD"/>
    <w:rsid w:val="00DD2183"/>
    <w:rsid w:val="00DD246C"/>
    <w:rsid w:val="00DD3E2E"/>
    <w:rsid w:val="00DD4865"/>
    <w:rsid w:val="00DD5A36"/>
    <w:rsid w:val="00DD6173"/>
    <w:rsid w:val="00DD671B"/>
    <w:rsid w:val="00DE1379"/>
    <w:rsid w:val="00DE15ED"/>
    <w:rsid w:val="00DE3E04"/>
    <w:rsid w:val="00DE5055"/>
    <w:rsid w:val="00DE65D9"/>
    <w:rsid w:val="00DE6988"/>
    <w:rsid w:val="00DE708D"/>
    <w:rsid w:val="00DF1513"/>
    <w:rsid w:val="00DF1F0F"/>
    <w:rsid w:val="00DF2EAE"/>
    <w:rsid w:val="00DF6601"/>
    <w:rsid w:val="00DF681E"/>
    <w:rsid w:val="00E01312"/>
    <w:rsid w:val="00E02381"/>
    <w:rsid w:val="00E02E89"/>
    <w:rsid w:val="00E03387"/>
    <w:rsid w:val="00E041A7"/>
    <w:rsid w:val="00E06632"/>
    <w:rsid w:val="00E079E8"/>
    <w:rsid w:val="00E10D12"/>
    <w:rsid w:val="00E12D2F"/>
    <w:rsid w:val="00E15801"/>
    <w:rsid w:val="00E15C6B"/>
    <w:rsid w:val="00E1646C"/>
    <w:rsid w:val="00E20736"/>
    <w:rsid w:val="00E20A04"/>
    <w:rsid w:val="00E22A45"/>
    <w:rsid w:val="00E23407"/>
    <w:rsid w:val="00E2469C"/>
    <w:rsid w:val="00E261C3"/>
    <w:rsid w:val="00E26522"/>
    <w:rsid w:val="00E31CB0"/>
    <w:rsid w:val="00E32315"/>
    <w:rsid w:val="00E34AC4"/>
    <w:rsid w:val="00E3522A"/>
    <w:rsid w:val="00E35A7B"/>
    <w:rsid w:val="00E35B35"/>
    <w:rsid w:val="00E361C5"/>
    <w:rsid w:val="00E42106"/>
    <w:rsid w:val="00E44345"/>
    <w:rsid w:val="00E45857"/>
    <w:rsid w:val="00E45E74"/>
    <w:rsid w:val="00E45F64"/>
    <w:rsid w:val="00E45F93"/>
    <w:rsid w:val="00E460E7"/>
    <w:rsid w:val="00E47CFC"/>
    <w:rsid w:val="00E50623"/>
    <w:rsid w:val="00E506DB"/>
    <w:rsid w:val="00E51300"/>
    <w:rsid w:val="00E51387"/>
    <w:rsid w:val="00E52F43"/>
    <w:rsid w:val="00E567FE"/>
    <w:rsid w:val="00E57ED2"/>
    <w:rsid w:val="00E604F8"/>
    <w:rsid w:val="00E60A65"/>
    <w:rsid w:val="00E62860"/>
    <w:rsid w:val="00E6434C"/>
    <w:rsid w:val="00E6509A"/>
    <w:rsid w:val="00E67FAD"/>
    <w:rsid w:val="00E724F2"/>
    <w:rsid w:val="00E74456"/>
    <w:rsid w:val="00E75479"/>
    <w:rsid w:val="00E759BA"/>
    <w:rsid w:val="00E772F9"/>
    <w:rsid w:val="00E81780"/>
    <w:rsid w:val="00E837FB"/>
    <w:rsid w:val="00E83DC0"/>
    <w:rsid w:val="00E83EE3"/>
    <w:rsid w:val="00E84389"/>
    <w:rsid w:val="00E85DE2"/>
    <w:rsid w:val="00E8600B"/>
    <w:rsid w:val="00E86889"/>
    <w:rsid w:val="00E87634"/>
    <w:rsid w:val="00E8790A"/>
    <w:rsid w:val="00E9011F"/>
    <w:rsid w:val="00E910FC"/>
    <w:rsid w:val="00E923C7"/>
    <w:rsid w:val="00E92F86"/>
    <w:rsid w:val="00E9460E"/>
    <w:rsid w:val="00E959D1"/>
    <w:rsid w:val="00E96095"/>
    <w:rsid w:val="00E969CD"/>
    <w:rsid w:val="00E97D09"/>
    <w:rsid w:val="00EA0921"/>
    <w:rsid w:val="00EA1195"/>
    <w:rsid w:val="00EA21F3"/>
    <w:rsid w:val="00EA481B"/>
    <w:rsid w:val="00EA68AB"/>
    <w:rsid w:val="00EA72FE"/>
    <w:rsid w:val="00EB013D"/>
    <w:rsid w:val="00EB0CC4"/>
    <w:rsid w:val="00EB0F9B"/>
    <w:rsid w:val="00EB13E7"/>
    <w:rsid w:val="00EB1698"/>
    <w:rsid w:val="00EB1B1C"/>
    <w:rsid w:val="00EB3245"/>
    <w:rsid w:val="00EB3269"/>
    <w:rsid w:val="00EB5146"/>
    <w:rsid w:val="00EB544E"/>
    <w:rsid w:val="00EB7D34"/>
    <w:rsid w:val="00EC003E"/>
    <w:rsid w:val="00EC0139"/>
    <w:rsid w:val="00EC3256"/>
    <w:rsid w:val="00EC3768"/>
    <w:rsid w:val="00EC3F70"/>
    <w:rsid w:val="00EC475D"/>
    <w:rsid w:val="00EC49D6"/>
    <w:rsid w:val="00EC4EF6"/>
    <w:rsid w:val="00EC74C4"/>
    <w:rsid w:val="00EC7B63"/>
    <w:rsid w:val="00ED19C5"/>
    <w:rsid w:val="00ED1A10"/>
    <w:rsid w:val="00ED1DF5"/>
    <w:rsid w:val="00ED1EE5"/>
    <w:rsid w:val="00ED1F9A"/>
    <w:rsid w:val="00ED34C2"/>
    <w:rsid w:val="00EE1692"/>
    <w:rsid w:val="00EE1707"/>
    <w:rsid w:val="00EE1969"/>
    <w:rsid w:val="00EE1C69"/>
    <w:rsid w:val="00EE328E"/>
    <w:rsid w:val="00EE32D5"/>
    <w:rsid w:val="00EE3F41"/>
    <w:rsid w:val="00EE5855"/>
    <w:rsid w:val="00EE5C1F"/>
    <w:rsid w:val="00EE5CD1"/>
    <w:rsid w:val="00EE5F7E"/>
    <w:rsid w:val="00EF24B2"/>
    <w:rsid w:val="00EF2799"/>
    <w:rsid w:val="00EF328D"/>
    <w:rsid w:val="00EF6D73"/>
    <w:rsid w:val="00F0053A"/>
    <w:rsid w:val="00F00A02"/>
    <w:rsid w:val="00F0182C"/>
    <w:rsid w:val="00F02BE3"/>
    <w:rsid w:val="00F033C4"/>
    <w:rsid w:val="00F03F62"/>
    <w:rsid w:val="00F05BAF"/>
    <w:rsid w:val="00F0783B"/>
    <w:rsid w:val="00F10DB8"/>
    <w:rsid w:val="00F10F46"/>
    <w:rsid w:val="00F11792"/>
    <w:rsid w:val="00F1212B"/>
    <w:rsid w:val="00F13A9C"/>
    <w:rsid w:val="00F14C84"/>
    <w:rsid w:val="00F1516A"/>
    <w:rsid w:val="00F17381"/>
    <w:rsid w:val="00F17E1D"/>
    <w:rsid w:val="00F201DD"/>
    <w:rsid w:val="00F22657"/>
    <w:rsid w:val="00F22804"/>
    <w:rsid w:val="00F23411"/>
    <w:rsid w:val="00F23D2A"/>
    <w:rsid w:val="00F2741E"/>
    <w:rsid w:val="00F30537"/>
    <w:rsid w:val="00F3074D"/>
    <w:rsid w:val="00F33CE5"/>
    <w:rsid w:val="00F37871"/>
    <w:rsid w:val="00F40CB6"/>
    <w:rsid w:val="00F410F1"/>
    <w:rsid w:val="00F42FAC"/>
    <w:rsid w:val="00F4496E"/>
    <w:rsid w:val="00F455AC"/>
    <w:rsid w:val="00F4726A"/>
    <w:rsid w:val="00F50585"/>
    <w:rsid w:val="00F52337"/>
    <w:rsid w:val="00F52BC8"/>
    <w:rsid w:val="00F5414F"/>
    <w:rsid w:val="00F5592C"/>
    <w:rsid w:val="00F56703"/>
    <w:rsid w:val="00F56C18"/>
    <w:rsid w:val="00F619E9"/>
    <w:rsid w:val="00F622A6"/>
    <w:rsid w:val="00F639A8"/>
    <w:rsid w:val="00F63EF4"/>
    <w:rsid w:val="00F64CB6"/>
    <w:rsid w:val="00F64F5F"/>
    <w:rsid w:val="00F6631C"/>
    <w:rsid w:val="00F674B6"/>
    <w:rsid w:val="00F701A9"/>
    <w:rsid w:val="00F72807"/>
    <w:rsid w:val="00F74498"/>
    <w:rsid w:val="00F7466B"/>
    <w:rsid w:val="00F759DC"/>
    <w:rsid w:val="00F759E9"/>
    <w:rsid w:val="00F75B63"/>
    <w:rsid w:val="00F77343"/>
    <w:rsid w:val="00F77BE6"/>
    <w:rsid w:val="00F82244"/>
    <w:rsid w:val="00F84E78"/>
    <w:rsid w:val="00F850C4"/>
    <w:rsid w:val="00F87331"/>
    <w:rsid w:val="00F8763A"/>
    <w:rsid w:val="00F910E0"/>
    <w:rsid w:val="00F91A89"/>
    <w:rsid w:val="00F932F8"/>
    <w:rsid w:val="00F94C3D"/>
    <w:rsid w:val="00F9570B"/>
    <w:rsid w:val="00F96C81"/>
    <w:rsid w:val="00FA28F3"/>
    <w:rsid w:val="00FA30BE"/>
    <w:rsid w:val="00FA3E05"/>
    <w:rsid w:val="00FA427F"/>
    <w:rsid w:val="00FA4BA5"/>
    <w:rsid w:val="00FA4C1C"/>
    <w:rsid w:val="00FA51D0"/>
    <w:rsid w:val="00FA56A3"/>
    <w:rsid w:val="00FA61B2"/>
    <w:rsid w:val="00FA7518"/>
    <w:rsid w:val="00FB09D5"/>
    <w:rsid w:val="00FB1382"/>
    <w:rsid w:val="00FB1896"/>
    <w:rsid w:val="00FB3349"/>
    <w:rsid w:val="00FB37F5"/>
    <w:rsid w:val="00FB59B2"/>
    <w:rsid w:val="00FB5E08"/>
    <w:rsid w:val="00FB6984"/>
    <w:rsid w:val="00FB6F3D"/>
    <w:rsid w:val="00FC0907"/>
    <w:rsid w:val="00FC0E00"/>
    <w:rsid w:val="00FC1BAD"/>
    <w:rsid w:val="00FC24CA"/>
    <w:rsid w:val="00FC33F9"/>
    <w:rsid w:val="00FC374A"/>
    <w:rsid w:val="00FC38C8"/>
    <w:rsid w:val="00FC3B3D"/>
    <w:rsid w:val="00FC5AC9"/>
    <w:rsid w:val="00FC5BBE"/>
    <w:rsid w:val="00FC7245"/>
    <w:rsid w:val="00FD0E04"/>
    <w:rsid w:val="00FD0F74"/>
    <w:rsid w:val="00FD110E"/>
    <w:rsid w:val="00FD16A3"/>
    <w:rsid w:val="00FD2329"/>
    <w:rsid w:val="00FD270A"/>
    <w:rsid w:val="00FD3210"/>
    <w:rsid w:val="00FD358E"/>
    <w:rsid w:val="00FD51D8"/>
    <w:rsid w:val="00FD6425"/>
    <w:rsid w:val="00FD649D"/>
    <w:rsid w:val="00FD6634"/>
    <w:rsid w:val="00FD69F0"/>
    <w:rsid w:val="00FD6E6C"/>
    <w:rsid w:val="00FE27E4"/>
    <w:rsid w:val="00FE49EC"/>
    <w:rsid w:val="00FE4E22"/>
    <w:rsid w:val="00FE5612"/>
    <w:rsid w:val="00FE5AC2"/>
    <w:rsid w:val="00FE6734"/>
    <w:rsid w:val="00FE7C85"/>
    <w:rsid w:val="00FF0106"/>
    <w:rsid w:val="00FF226D"/>
    <w:rsid w:val="00FF26F5"/>
    <w:rsid w:val="00FF2A67"/>
    <w:rsid w:val="00FF5959"/>
    <w:rsid w:val="00FF6CBD"/>
    <w:rsid w:val="00FF7249"/>
    <w:rsid w:val="00FF74B0"/>
    <w:rsid w:val="015679D0"/>
    <w:rsid w:val="016814B1"/>
    <w:rsid w:val="01A733EC"/>
    <w:rsid w:val="01F170BF"/>
    <w:rsid w:val="0296132E"/>
    <w:rsid w:val="02B04EBD"/>
    <w:rsid w:val="02C621DB"/>
    <w:rsid w:val="031B50C4"/>
    <w:rsid w:val="034A3347"/>
    <w:rsid w:val="037E26A9"/>
    <w:rsid w:val="038358B2"/>
    <w:rsid w:val="04270E0A"/>
    <w:rsid w:val="045D3268"/>
    <w:rsid w:val="048B6A1F"/>
    <w:rsid w:val="052102F4"/>
    <w:rsid w:val="053C6EDC"/>
    <w:rsid w:val="058C3E4F"/>
    <w:rsid w:val="05C23CDB"/>
    <w:rsid w:val="05FE24DF"/>
    <w:rsid w:val="0629061C"/>
    <w:rsid w:val="06A50F72"/>
    <w:rsid w:val="06C12404"/>
    <w:rsid w:val="06C76FB8"/>
    <w:rsid w:val="06EC3263"/>
    <w:rsid w:val="07253323"/>
    <w:rsid w:val="07270826"/>
    <w:rsid w:val="076830B7"/>
    <w:rsid w:val="077E6462"/>
    <w:rsid w:val="07D97E23"/>
    <w:rsid w:val="081C4DA3"/>
    <w:rsid w:val="08354E92"/>
    <w:rsid w:val="094A4FAD"/>
    <w:rsid w:val="096670F4"/>
    <w:rsid w:val="0995070A"/>
    <w:rsid w:val="09AD5099"/>
    <w:rsid w:val="0A2B48CD"/>
    <w:rsid w:val="0A314E36"/>
    <w:rsid w:val="0A5922DF"/>
    <w:rsid w:val="0A5D63C0"/>
    <w:rsid w:val="0A7B6BB1"/>
    <w:rsid w:val="0AF4732D"/>
    <w:rsid w:val="0B1B7C26"/>
    <w:rsid w:val="0BDA2FAB"/>
    <w:rsid w:val="0C1B77C6"/>
    <w:rsid w:val="0C551AC9"/>
    <w:rsid w:val="0C6A05CE"/>
    <w:rsid w:val="0C7E602C"/>
    <w:rsid w:val="0C826C04"/>
    <w:rsid w:val="0C84063C"/>
    <w:rsid w:val="0C861AE9"/>
    <w:rsid w:val="0C886EAB"/>
    <w:rsid w:val="0C9A093D"/>
    <w:rsid w:val="0CBE297A"/>
    <w:rsid w:val="0CBE2E61"/>
    <w:rsid w:val="0CF127D7"/>
    <w:rsid w:val="0E1023A2"/>
    <w:rsid w:val="0E6B19E9"/>
    <w:rsid w:val="0EB5125D"/>
    <w:rsid w:val="0F2073F4"/>
    <w:rsid w:val="0F2C5A73"/>
    <w:rsid w:val="0F384BB8"/>
    <w:rsid w:val="0F3B0A6F"/>
    <w:rsid w:val="0FBF7277"/>
    <w:rsid w:val="0FD91F00"/>
    <w:rsid w:val="0FE4089C"/>
    <w:rsid w:val="10384F1B"/>
    <w:rsid w:val="103A378A"/>
    <w:rsid w:val="11331C12"/>
    <w:rsid w:val="11400987"/>
    <w:rsid w:val="11443123"/>
    <w:rsid w:val="11A6779F"/>
    <w:rsid w:val="11B00A36"/>
    <w:rsid w:val="11D91D18"/>
    <w:rsid w:val="11FC063A"/>
    <w:rsid w:val="12171CCA"/>
    <w:rsid w:val="1238256B"/>
    <w:rsid w:val="126A19D3"/>
    <w:rsid w:val="12C13A3A"/>
    <w:rsid w:val="133053DB"/>
    <w:rsid w:val="1340747B"/>
    <w:rsid w:val="13434F41"/>
    <w:rsid w:val="13D87533"/>
    <w:rsid w:val="1401680C"/>
    <w:rsid w:val="14044A9A"/>
    <w:rsid w:val="14692A74"/>
    <w:rsid w:val="14B6611A"/>
    <w:rsid w:val="153D0F33"/>
    <w:rsid w:val="158708BA"/>
    <w:rsid w:val="158A3C94"/>
    <w:rsid w:val="15A35586"/>
    <w:rsid w:val="15A71DE4"/>
    <w:rsid w:val="15D22C36"/>
    <w:rsid w:val="163C3F6E"/>
    <w:rsid w:val="173B1003"/>
    <w:rsid w:val="178B7A91"/>
    <w:rsid w:val="17E578CC"/>
    <w:rsid w:val="17F83137"/>
    <w:rsid w:val="18516BBD"/>
    <w:rsid w:val="188D2D78"/>
    <w:rsid w:val="18A05099"/>
    <w:rsid w:val="18FA65D9"/>
    <w:rsid w:val="1921423C"/>
    <w:rsid w:val="19361673"/>
    <w:rsid w:val="1A2119E1"/>
    <w:rsid w:val="1A2309F1"/>
    <w:rsid w:val="1A3022CF"/>
    <w:rsid w:val="1A824F3A"/>
    <w:rsid w:val="1B8D07DE"/>
    <w:rsid w:val="1BA933C7"/>
    <w:rsid w:val="1BC4466F"/>
    <w:rsid w:val="1BCD20E2"/>
    <w:rsid w:val="1C0D1749"/>
    <w:rsid w:val="1CAE0EB9"/>
    <w:rsid w:val="1DD71F76"/>
    <w:rsid w:val="1E2F362A"/>
    <w:rsid w:val="1E5443A0"/>
    <w:rsid w:val="1E5C2FE4"/>
    <w:rsid w:val="1E7C76B2"/>
    <w:rsid w:val="1EE75CB3"/>
    <w:rsid w:val="1EFA34D9"/>
    <w:rsid w:val="1F3D2811"/>
    <w:rsid w:val="1FB05A0C"/>
    <w:rsid w:val="1FCC611D"/>
    <w:rsid w:val="203A26D8"/>
    <w:rsid w:val="20511926"/>
    <w:rsid w:val="20917CA5"/>
    <w:rsid w:val="21057E7F"/>
    <w:rsid w:val="212D20A3"/>
    <w:rsid w:val="21393401"/>
    <w:rsid w:val="217A2E0F"/>
    <w:rsid w:val="228A0568"/>
    <w:rsid w:val="22C97440"/>
    <w:rsid w:val="22D64075"/>
    <w:rsid w:val="23977CA8"/>
    <w:rsid w:val="23D136E6"/>
    <w:rsid w:val="24496FA3"/>
    <w:rsid w:val="24572958"/>
    <w:rsid w:val="24A62A98"/>
    <w:rsid w:val="24A91AB6"/>
    <w:rsid w:val="24CD3CF9"/>
    <w:rsid w:val="26876DE5"/>
    <w:rsid w:val="26D7692C"/>
    <w:rsid w:val="26E1006D"/>
    <w:rsid w:val="26FA337A"/>
    <w:rsid w:val="2741784A"/>
    <w:rsid w:val="27580EEE"/>
    <w:rsid w:val="27676CF2"/>
    <w:rsid w:val="27682C26"/>
    <w:rsid w:val="27EB4D1A"/>
    <w:rsid w:val="2899133A"/>
    <w:rsid w:val="28C43440"/>
    <w:rsid w:val="28E02478"/>
    <w:rsid w:val="29C00527"/>
    <w:rsid w:val="2A9C3A8A"/>
    <w:rsid w:val="2AC5334C"/>
    <w:rsid w:val="2AEF222B"/>
    <w:rsid w:val="2B400C25"/>
    <w:rsid w:val="2B420F62"/>
    <w:rsid w:val="2B6E5792"/>
    <w:rsid w:val="2B7E174D"/>
    <w:rsid w:val="2BDF71BD"/>
    <w:rsid w:val="2C441BA0"/>
    <w:rsid w:val="2C7273E6"/>
    <w:rsid w:val="2C772424"/>
    <w:rsid w:val="2CAE212D"/>
    <w:rsid w:val="2D404CF0"/>
    <w:rsid w:val="2D8A4C47"/>
    <w:rsid w:val="2DE40903"/>
    <w:rsid w:val="2DF02643"/>
    <w:rsid w:val="2E162359"/>
    <w:rsid w:val="2E310C6A"/>
    <w:rsid w:val="2E587DCB"/>
    <w:rsid w:val="2E7901B2"/>
    <w:rsid w:val="2E930A74"/>
    <w:rsid w:val="2ED31DB0"/>
    <w:rsid w:val="2F0D7070"/>
    <w:rsid w:val="2F7519A6"/>
    <w:rsid w:val="2F9F6151"/>
    <w:rsid w:val="303D33AF"/>
    <w:rsid w:val="304F37AC"/>
    <w:rsid w:val="31224929"/>
    <w:rsid w:val="31EF5FC6"/>
    <w:rsid w:val="31F27AA9"/>
    <w:rsid w:val="32061956"/>
    <w:rsid w:val="32277905"/>
    <w:rsid w:val="32FF5CDB"/>
    <w:rsid w:val="33691A5C"/>
    <w:rsid w:val="33741567"/>
    <w:rsid w:val="33D95462"/>
    <w:rsid w:val="340D7B12"/>
    <w:rsid w:val="34764194"/>
    <w:rsid w:val="34AB607C"/>
    <w:rsid w:val="34FC64FF"/>
    <w:rsid w:val="362C637E"/>
    <w:rsid w:val="36682E8B"/>
    <w:rsid w:val="36FC292C"/>
    <w:rsid w:val="374101FF"/>
    <w:rsid w:val="37735574"/>
    <w:rsid w:val="377E2E54"/>
    <w:rsid w:val="377F2A8B"/>
    <w:rsid w:val="378E38A2"/>
    <w:rsid w:val="37DB5F0E"/>
    <w:rsid w:val="382D5106"/>
    <w:rsid w:val="38361C57"/>
    <w:rsid w:val="385E2968"/>
    <w:rsid w:val="386E3E1F"/>
    <w:rsid w:val="38793904"/>
    <w:rsid w:val="38C40452"/>
    <w:rsid w:val="38E72650"/>
    <w:rsid w:val="38F70497"/>
    <w:rsid w:val="391712E1"/>
    <w:rsid w:val="39653FE8"/>
    <w:rsid w:val="398836E2"/>
    <w:rsid w:val="39F705A0"/>
    <w:rsid w:val="3A07502F"/>
    <w:rsid w:val="3AF410E4"/>
    <w:rsid w:val="3B7929A0"/>
    <w:rsid w:val="3BA6165B"/>
    <w:rsid w:val="3BAB0D7B"/>
    <w:rsid w:val="3C0733FF"/>
    <w:rsid w:val="3C3F74D0"/>
    <w:rsid w:val="3C520D61"/>
    <w:rsid w:val="3CDF2F7F"/>
    <w:rsid w:val="3CFA13BA"/>
    <w:rsid w:val="3DA411D5"/>
    <w:rsid w:val="3DC05984"/>
    <w:rsid w:val="3E247510"/>
    <w:rsid w:val="3E7013C9"/>
    <w:rsid w:val="3EFB0D4E"/>
    <w:rsid w:val="3F0B7CED"/>
    <w:rsid w:val="3FB53538"/>
    <w:rsid w:val="4018690C"/>
    <w:rsid w:val="407B04A8"/>
    <w:rsid w:val="4090365D"/>
    <w:rsid w:val="40F83E05"/>
    <w:rsid w:val="410F1295"/>
    <w:rsid w:val="41BD75C8"/>
    <w:rsid w:val="41DC4E4C"/>
    <w:rsid w:val="425A7FBD"/>
    <w:rsid w:val="42A95209"/>
    <w:rsid w:val="42E623A6"/>
    <w:rsid w:val="434A2E17"/>
    <w:rsid w:val="4354546B"/>
    <w:rsid w:val="43931E68"/>
    <w:rsid w:val="43BF6A80"/>
    <w:rsid w:val="43F618E4"/>
    <w:rsid w:val="44100795"/>
    <w:rsid w:val="44172F5C"/>
    <w:rsid w:val="446E2FDE"/>
    <w:rsid w:val="44E41352"/>
    <w:rsid w:val="44E87F0C"/>
    <w:rsid w:val="45A81A36"/>
    <w:rsid w:val="45D9779F"/>
    <w:rsid w:val="45FA7349"/>
    <w:rsid w:val="4654512D"/>
    <w:rsid w:val="466D70A0"/>
    <w:rsid w:val="46A00372"/>
    <w:rsid w:val="46A10061"/>
    <w:rsid w:val="46AA6ECC"/>
    <w:rsid w:val="471A6376"/>
    <w:rsid w:val="476B1178"/>
    <w:rsid w:val="47A63746"/>
    <w:rsid w:val="47C120B3"/>
    <w:rsid w:val="480134C0"/>
    <w:rsid w:val="4803206A"/>
    <w:rsid w:val="485D476D"/>
    <w:rsid w:val="48837897"/>
    <w:rsid w:val="48B57558"/>
    <w:rsid w:val="48DB5F40"/>
    <w:rsid w:val="48F652F5"/>
    <w:rsid w:val="490A2CC3"/>
    <w:rsid w:val="490B572C"/>
    <w:rsid w:val="49353BC7"/>
    <w:rsid w:val="495E29E6"/>
    <w:rsid w:val="4A724E8C"/>
    <w:rsid w:val="4AAE199A"/>
    <w:rsid w:val="4B4C5D6A"/>
    <w:rsid w:val="4B58457B"/>
    <w:rsid w:val="4B9E15EE"/>
    <w:rsid w:val="4BC66911"/>
    <w:rsid w:val="4BF21170"/>
    <w:rsid w:val="4BF70A34"/>
    <w:rsid w:val="4C315B36"/>
    <w:rsid w:val="4C9F209F"/>
    <w:rsid w:val="4CD148B2"/>
    <w:rsid w:val="4CE70DDB"/>
    <w:rsid w:val="4D165D6D"/>
    <w:rsid w:val="4D1B22C6"/>
    <w:rsid w:val="4D1E6576"/>
    <w:rsid w:val="4D9B1AE2"/>
    <w:rsid w:val="4DC9743E"/>
    <w:rsid w:val="4E566ACF"/>
    <w:rsid w:val="4EF40303"/>
    <w:rsid w:val="4EFA666B"/>
    <w:rsid w:val="4F457D08"/>
    <w:rsid w:val="4FB34DE8"/>
    <w:rsid w:val="502618E8"/>
    <w:rsid w:val="50854656"/>
    <w:rsid w:val="512A541E"/>
    <w:rsid w:val="51CC5FDA"/>
    <w:rsid w:val="52572F35"/>
    <w:rsid w:val="52F13701"/>
    <w:rsid w:val="53080EFD"/>
    <w:rsid w:val="530C21FA"/>
    <w:rsid w:val="53126132"/>
    <w:rsid w:val="536A2531"/>
    <w:rsid w:val="538057B3"/>
    <w:rsid w:val="538B6EDF"/>
    <w:rsid w:val="539D11A7"/>
    <w:rsid w:val="53B043A7"/>
    <w:rsid w:val="53C61020"/>
    <w:rsid w:val="53C6273D"/>
    <w:rsid w:val="54287BB0"/>
    <w:rsid w:val="544D5228"/>
    <w:rsid w:val="545A1400"/>
    <w:rsid w:val="547A48F8"/>
    <w:rsid w:val="54B27BEE"/>
    <w:rsid w:val="54B971CF"/>
    <w:rsid w:val="54F36D4C"/>
    <w:rsid w:val="550938E6"/>
    <w:rsid w:val="555818F7"/>
    <w:rsid w:val="558737B2"/>
    <w:rsid w:val="55AA7A38"/>
    <w:rsid w:val="55EA4E82"/>
    <w:rsid w:val="55FB1702"/>
    <w:rsid w:val="560C518D"/>
    <w:rsid w:val="5648378B"/>
    <w:rsid w:val="57641965"/>
    <w:rsid w:val="578A4E52"/>
    <w:rsid w:val="57EC1D94"/>
    <w:rsid w:val="58062066"/>
    <w:rsid w:val="588C3594"/>
    <w:rsid w:val="589A3BD0"/>
    <w:rsid w:val="58E42340"/>
    <w:rsid w:val="58E65C0B"/>
    <w:rsid w:val="58FA7100"/>
    <w:rsid w:val="591D2202"/>
    <w:rsid w:val="59264BD1"/>
    <w:rsid w:val="59294AF3"/>
    <w:rsid w:val="595B79AC"/>
    <w:rsid w:val="59A612B3"/>
    <w:rsid w:val="5A413DFF"/>
    <w:rsid w:val="5A785436"/>
    <w:rsid w:val="5A910AE6"/>
    <w:rsid w:val="5A9B6717"/>
    <w:rsid w:val="5AEB5C08"/>
    <w:rsid w:val="5B22171E"/>
    <w:rsid w:val="5B727C04"/>
    <w:rsid w:val="5BFF190E"/>
    <w:rsid w:val="5C475CF4"/>
    <w:rsid w:val="5C4C6347"/>
    <w:rsid w:val="5C8B7377"/>
    <w:rsid w:val="5CB62246"/>
    <w:rsid w:val="5CE86853"/>
    <w:rsid w:val="5D181614"/>
    <w:rsid w:val="5D6D59C8"/>
    <w:rsid w:val="5D8B36D2"/>
    <w:rsid w:val="5D8E4ADB"/>
    <w:rsid w:val="5D9D25C5"/>
    <w:rsid w:val="5DCA5380"/>
    <w:rsid w:val="5E336236"/>
    <w:rsid w:val="5E677792"/>
    <w:rsid w:val="5E847FBB"/>
    <w:rsid w:val="5E8F2C07"/>
    <w:rsid w:val="5EA26114"/>
    <w:rsid w:val="5EFF0AA1"/>
    <w:rsid w:val="5F0C10A5"/>
    <w:rsid w:val="5F31381D"/>
    <w:rsid w:val="5F383EAE"/>
    <w:rsid w:val="5F675C28"/>
    <w:rsid w:val="60803296"/>
    <w:rsid w:val="60D718F3"/>
    <w:rsid w:val="61871227"/>
    <w:rsid w:val="61937DC7"/>
    <w:rsid w:val="61B34FA6"/>
    <w:rsid w:val="61C44EA2"/>
    <w:rsid w:val="61E02DD9"/>
    <w:rsid w:val="61F21F72"/>
    <w:rsid w:val="61FD76AE"/>
    <w:rsid w:val="623F49F8"/>
    <w:rsid w:val="627A6013"/>
    <w:rsid w:val="62920426"/>
    <w:rsid w:val="62D07208"/>
    <w:rsid w:val="63143CD0"/>
    <w:rsid w:val="63302D52"/>
    <w:rsid w:val="634B3BD5"/>
    <w:rsid w:val="63924CA5"/>
    <w:rsid w:val="639257BA"/>
    <w:rsid w:val="63A51ACE"/>
    <w:rsid w:val="63E963A7"/>
    <w:rsid w:val="64121A6D"/>
    <w:rsid w:val="641C067E"/>
    <w:rsid w:val="6571289C"/>
    <w:rsid w:val="65B31A18"/>
    <w:rsid w:val="65CD346F"/>
    <w:rsid w:val="65DA1F1B"/>
    <w:rsid w:val="665D43DD"/>
    <w:rsid w:val="66881A60"/>
    <w:rsid w:val="66894D06"/>
    <w:rsid w:val="669430C8"/>
    <w:rsid w:val="66ADA595"/>
    <w:rsid w:val="66B05E51"/>
    <w:rsid w:val="675D6EEE"/>
    <w:rsid w:val="676F4FFB"/>
    <w:rsid w:val="67852F40"/>
    <w:rsid w:val="67AC34B8"/>
    <w:rsid w:val="67F10521"/>
    <w:rsid w:val="681A5D7E"/>
    <w:rsid w:val="68646FFA"/>
    <w:rsid w:val="687078B0"/>
    <w:rsid w:val="68945E4F"/>
    <w:rsid w:val="68C74DCD"/>
    <w:rsid w:val="6947561A"/>
    <w:rsid w:val="69681920"/>
    <w:rsid w:val="698E07D2"/>
    <w:rsid w:val="69A367B4"/>
    <w:rsid w:val="69C83EC4"/>
    <w:rsid w:val="6A2C5CCF"/>
    <w:rsid w:val="6A8A23E9"/>
    <w:rsid w:val="6AB62BC8"/>
    <w:rsid w:val="6AB95096"/>
    <w:rsid w:val="6AD25387"/>
    <w:rsid w:val="6ADB1D49"/>
    <w:rsid w:val="6AFF22A8"/>
    <w:rsid w:val="6B824366"/>
    <w:rsid w:val="6B8B0E77"/>
    <w:rsid w:val="6BF70957"/>
    <w:rsid w:val="6C130D11"/>
    <w:rsid w:val="6C57134F"/>
    <w:rsid w:val="6CBF6351"/>
    <w:rsid w:val="6D4F1ACC"/>
    <w:rsid w:val="6E7F4B8D"/>
    <w:rsid w:val="6EEB741C"/>
    <w:rsid w:val="6F015977"/>
    <w:rsid w:val="6F58297A"/>
    <w:rsid w:val="6F6F194A"/>
    <w:rsid w:val="6F8130B9"/>
    <w:rsid w:val="6FB2407E"/>
    <w:rsid w:val="6FEC3242"/>
    <w:rsid w:val="701A42F9"/>
    <w:rsid w:val="702D4E14"/>
    <w:rsid w:val="706F56E1"/>
    <w:rsid w:val="70DD1805"/>
    <w:rsid w:val="713D7A09"/>
    <w:rsid w:val="71530A68"/>
    <w:rsid w:val="715B62AC"/>
    <w:rsid w:val="719A55F3"/>
    <w:rsid w:val="71AB1DF7"/>
    <w:rsid w:val="71B2406F"/>
    <w:rsid w:val="71E573FD"/>
    <w:rsid w:val="72663EC2"/>
    <w:rsid w:val="72BB015E"/>
    <w:rsid w:val="72D35EFD"/>
    <w:rsid w:val="72E704D7"/>
    <w:rsid w:val="72F851B8"/>
    <w:rsid w:val="731673B1"/>
    <w:rsid w:val="73684EA3"/>
    <w:rsid w:val="73743A11"/>
    <w:rsid w:val="737B66D0"/>
    <w:rsid w:val="73C54A95"/>
    <w:rsid w:val="73F8659C"/>
    <w:rsid w:val="74303C95"/>
    <w:rsid w:val="755C2887"/>
    <w:rsid w:val="755F70C4"/>
    <w:rsid w:val="75767ACF"/>
    <w:rsid w:val="759F28FC"/>
    <w:rsid w:val="76992D10"/>
    <w:rsid w:val="76B6129E"/>
    <w:rsid w:val="76DA1E5F"/>
    <w:rsid w:val="774249AA"/>
    <w:rsid w:val="775B70DB"/>
    <w:rsid w:val="779D1A5F"/>
    <w:rsid w:val="77F67CC0"/>
    <w:rsid w:val="7821331D"/>
    <w:rsid w:val="78626AD8"/>
    <w:rsid w:val="78CE60D3"/>
    <w:rsid w:val="79191277"/>
    <w:rsid w:val="79B4666D"/>
    <w:rsid w:val="7A2E1A56"/>
    <w:rsid w:val="7A494EC2"/>
    <w:rsid w:val="7A53521E"/>
    <w:rsid w:val="7A6C3EEC"/>
    <w:rsid w:val="7A9814B1"/>
    <w:rsid w:val="7AAB2428"/>
    <w:rsid w:val="7AE96020"/>
    <w:rsid w:val="7B8A4AB6"/>
    <w:rsid w:val="7BAA4548"/>
    <w:rsid w:val="7BB01069"/>
    <w:rsid w:val="7BF24BF0"/>
    <w:rsid w:val="7C2C2D5C"/>
    <w:rsid w:val="7C8B3AB1"/>
    <w:rsid w:val="7C9D7170"/>
    <w:rsid w:val="7CE873E2"/>
    <w:rsid w:val="7D14662D"/>
    <w:rsid w:val="7D2053EC"/>
    <w:rsid w:val="7D28207B"/>
    <w:rsid w:val="7D4567A6"/>
    <w:rsid w:val="7E0E572D"/>
    <w:rsid w:val="7E3A6EB0"/>
    <w:rsid w:val="7EA47930"/>
    <w:rsid w:val="7EF83977"/>
    <w:rsid w:val="7F5D23E8"/>
    <w:rsid w:val="7F8518D8"/>
    <w:rsid w:val="7FA07251"/>
    <w:rsid w:val="7FBD6AC7"/>
    <w:rsid w:val="B7FD7DE9"/>
    <w:rsid w:val="EADF0CC8"/>
    <w:rsid w:val="F7FB238B"/>
    <w:rsid w:val="FFFF97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1"/>
    <w:qFormat/>
    <w:uiPriority w:val="0"/>
    <w:pPr>
      <w:keepNext/>
      <w:tabs>
        <w:tab w:val="left" w:pos="1830"/>
      </w:tabs>
      <w:ind w:left="1830" w:hanging="360"/>
      <w:outlineLvl w:val="0"/>
    </w:pPr>
    <w:rPr>
      <w:rFonts w:ascii="Arial" w:hAnsi="Arial" w:eastAsia="仿宋_GB2312"/>
      <w:kern w:val="0"/>
      <w:sz w:val="28"/>
      <w:lang w:bidi="he-IL"/>
    </w:rPr>
  </w:style>
  <w:style w:type="paragraph" w:styleId="4">
    <w:name w:val="heading 2"/>
    <w:basedOn w:val="1"/>
    <w:next w:val="1"/>
    <w:link w:val="52"/>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5">
    <w:name w:val="heading 3"/>
    <w:basedOn w:val="1"/>
    <w:next w:val="1"/>
    <w:link w:val="49"/>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szCs w:val="24"/>
    </w:rPr>
  </w:style>
  <w:style w:type="character" w:default="1" w:styleId="36">
    <w:name w:val="Default Paragraph Font"/>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Arial" w:hAnsi="Arial" w:eastAsia="黑体"/>
      <w:b/>
      <w:sz w:val="32"/>
    </w:r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firstLineChars="200"/>
    </w:p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Indent"/>
    <w:basedOn w:val="1"/>
    <w:qFormat/>
    <w:uiPriority w:val="0"/>
    <w:pPr>
      <w:ind w:firstLine="645"/>
    </w:pPr>
    <w:rPr>
      <w:rFonts w:ascii="Arial" w:hAnsi="Arial" w:eastAsia="仿宋_GB2312"/>
      <w:sz w:val="28"/>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link w:val="53"/>
    <w:qFormat/>
    <w:uiPriority w:val="0"/>
    <w:rPr>
      <w:rFonts w:ascii="宋体" w:hAnsi="Courier New"/>
    </w:rPr>
  </w:style>
  <w:style w:type="paragraph" w:styleId="16">
    <w:name w:val="toc 8"/>
    <w:basedOn w:val="1"/>
    <w:next w:val="1"/>
    <w:qFormat/>
    <w:uiPriority w:val="0"/>
    <w:pPr>
      <w:ind w:left="2940" w:leftChars="1400"/>
    </w:pPr>
  </w:style>
  <w:style w:type="paragraph" w:styleId="17">
    <w:name w:val="Date"/>
    <w:basedOn w:val="1"/>
    <w:next w:val="1"/>
    <w:link w:val="54"/>
    <w:qFormat/>
    <w:uiPriority w:val="0"/>
    <w:rPr>
      <w:rFonts w:ascii="仿宋_GB2312" w:eastAsia="仿宋_GB2312"/>
      <w:sz w:val="30"/>
      <w:lang w:bidi="he-IL"/>
    </w:rPr>
  </w:style>
  <w:style w:type="paragraph" w:styleId="18">
    <w:name w:val="Body Text Indent 2"/>
    <w:basedOn w:val="1"/>
    <w:qFormat/>
    <w:uiPriority w:val="0"/>
    <w:pPr>
      <w:ind w:firstLine="570"/>
    </w:pPr>
    <w:rPr>
      <w:rFonts w:ascii="Arial" w:hAnsi="Arial" w:eastAsia="仿宋_GB2312"/>
      <w:b/>
      <w:sz w:val="28"/>
    </w:rPr>
  </w:style>
  <w:style w:type="paragraph" w:styleId="19">
    <w:name w:val="Balloon Text"/>
    <w:basedOn w:val="1"/>
    <w:link w:val="55"/>
    <w:semiHidden/>
    <w:qFormat/>
    <w:uiPriority w:val="0"/>
    <w:rPr>
      <w:sz w:val="18"/>
      <w:szCs w:val="18"/>
    </w:rPr>
  </w:style>
  <w:style w:type="paragraph" w:styleId="20">
    <w:name w:val="footer"/>
    <w:basedOn w:val="1"/>
    <w:link w:val="56"/>
    <w:qFormat/>
    <w:uiPriority w:val="0"/>
    <w:pPr>
      <w:tabs>
        <w:tab w:val="center" w:pos="4153"/>
        <w:tab w:val="right" w:pos="8306"/>
      </w:tabs>
      <w:snapToGrid w:val="0"/>
      <w:jc w:val="left"/>
    </w:pPr>
    <w:rPr>
      <w:sz w:val="18"/>
      <w:lang w:bidi="he-IL"/>
    </w:rPr>
  </w:style>
  <w:style w:type="paragraph" w:styleId="21">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23"/>
    <w:next w:val="1"/>
    <w:qFormat/>
    <w:uiPriority w:val="0"/>
    <w:rPr>
      <w:rFonts w:eastAsia="黑体"/>
      <w:sz w:val="28"/>
    </w:rPr>
  </w:style>
  <w:style w:type="paragraph" w:styleId="23">
    <w:name w:val="index 1"/>
    <w:basedOn w:val="1"/>
    <w:next w:val="1"/>
    <w:qFormat/>
    <w:uiPriority w:val="0"/>
    <w:rPr>
      <w:rFonts w:eastAsia="仿宋_GB2312"/>
      <w:b/>
      <w:sz w:val="24"/>
    </w:rPr>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qFormat/>
    <w:uiPriority w:val="0"/>
    <w:pPr>
      <w:ind w:left="2" w:firstLine="628" w:firstLineChars="196"/>
    </w:pPr>
    <w:rPr>
      <w:rFonts w:ascii="Arial" w:hAnsi="Arial" w:eastAsia="仿宋_GB2312"/>
      <w:b/>
      <w:sz w:val="32"/>
      <w:lang w:bidi="he-IL"/>
    </w:rPr>
  </w:style>
  <w:style w:type="paragraph" w:styleId="27">
    <w:name w:val="toc 2"/>
    <w:basedOn w:val="28"/>
    <w:next w:val="28"/>
    <w:qFormat/>
    <w:uiPriority w:val="0"/>
    <w:pPr>
      <w:ind w:left="420" w:leftChars="200"/>
    </w:pPr>
    <w:rPr>
      <w:rFonts w:eastAsia="仿宋_GB2312"/>
      <w:b/>
      <w:sz w:val="24"/>
    </w:rPr>
  </w:style>
  <w:style w:type="paragraph" w:styleId="28">
    <w:name w:val="index 2"/>
    <w:basedOn w:val="1"/>
    <w:next w:val="1"/>
    <w:qFormat/>
    <w:uiPriority w:val="0"/>
    <w:pPr>
      <w:ind w:left="200" w:leftChars="200"/>
    </w:pPr>
  </w:style>
  <w:style w:type="paragraph" w:styleId="29">
    <w:name w:val="toc 9"/>
    <w:basedOn w:val="1"/>
    <w:next w:val="1"/>
    <w:qFormat/>
    <w:uiPriority w:val="0"/>
    <w:pPr>
      <w:ind w:left="3360" w:leftChars="1600"/>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cs="黑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Body Text First Indent"/>
    <w:basedOn w:val="2"/>
    <w:unhideWhenUsed/>
    <w:qFormat/>
    <w:uiPriority w:val="99"/>
    <w:pPr>
      <w:spacing w:line="400" w:lineRule="atLeast"/>
      <w:ind w:firstLine="426"/>
    </w:pPr>
    <w:rPr>
      <w:rFonts w:ascii="Times New Roman" w:hAnsi="Times New Roman"/>
      <w:sz w:val="24"/>
      <w:szCs w:val="20"/>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Grid 2"/>
    <w:basedOn w:val="33"/>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333333"/>
      <w:u w:val="none"/>
    </w:rPr>
  </w:style>
  <w:style w:type="character" w:styleId="40">
    <w:name w:val="HTML Definition"/>
    <w:basedOn w:val="36"/>
    <w:qFormat/>
    <w:uiPriority w:val="0"/>
  </w:style>
  <w:style w:type="character" w:styleId="41">
    <w:name w:val="HTML Typewriter"/>
    <w:basedOn w:val="36"/>
    <w:qFormat/>
    <w:uiPriority w:val="0"/>
    <w:rPr>
      <w:rFonts w:ascii="monospace" w:hAnsi="monospace" w:eastAsia="monospace" w:cs="monospace"/>
      <w:sz w:val="20"/>
    </w:rPr>
  </w:style>
  <w:style w:type="character" w:styleId="42">
    <w:name w:val="HTML Acronym"/>
    <w:basedOn w:val="36"/>
    <w:qFormat/>
    <w:uiPriority w:val="0"/>
  </w:style>
  <w:style w:type="character" w:styleId="43">
    <w:name w:val="HTML Variable"/>
    <w:basedOn w:val="36"/>
    <w:qFormat/>
    <w:uiPriority w:val="0"/>
  </w:style>
  <w:style w:type="character" w:styleId="44">
    <w:name w:val="Hyperlink"/>
    <w:qFormat/>
    <w:uiPriority w:val="0"/>
    <w:rPr>
      <w:color w:val="333333"/>
      <w:u w:val="none"/>
    </w:rPr>
  </w:style>
  <w:style w:type="character" w:styleId="45">
    <w:name w:val="HTML Code"/>
    <w:basedOn w:val="36"/>
    <w:qFormat/>
    <w:uiPriority w:val="0"/>
    <w:rPr>
      <w:rFonts w:hint="default" w:ascii="monospace" w:hAnsi="monospace" w:eastAsia="monospace" w:cs="monospace"/>
      <w:sz w:val="20"/>
    </w:rPr>
  </w:style>
  <w:style w:type="character" w:styleId="46">
    <w:name w:val="HTML Cite"/>
    <w:basedOn w:val="36"/>
    <w:qFormat/>
    <w:uiPriority w:val="0"/>
  </w:style>
  <w:style w:type="character" w:styleId="47">
    <w:name w:val="HTML Keyboard"/>
    <w:basedOn w:val="36"/>
    <w:qFormat/>
    <w:uiPriority w:val="0"/>
    <w:rPr>
      <w:rFonts w:hint="default" w:ascii="monospace" w:hAnsi="monospace" w:eastAsia="monospace" w:cs="monospace"/>
      <w:sz w:val="20"/>
    </w:rPr>
  </w:style>
  <w:style w:type="character" w:styleId="48">
    <w:name w:val="HTML Sample"/>
    <w:basedOn w:val="36"/>
    <w:qFormat/>
    <w:uiPriority w:val="0"/>
    <w:rPr>
      <w:rFonts w:hint="default" w:ascii="monospace" w:hAnsi="monospace" w:eastAsia="monospace" w:cs="monospace"/>
    </w:rPr>
  </w:style>
  <w:style w:type="character" w:customStyle="1" w:styleId="49">
    <w:name w:val="标题 3 Char"/>
    <w:link w:val="5"/>
    <w:qFormat/>
    <w:uiPriority w:val="0"/>
    <w:rPr>
      <w:rFonts w:eastAsia="宋体"/>
      <w:b/>
      <w:bCs/>
      <w:kern w:val="2"/>
      <w:sz w:val="32"/>
      <w:szCs w:val="32"/>
      <w:lang w:val="en-US" w:eastAsia="zh-CN" w:bidi="ar-SA"/>
    </w:rPr>
  </w:style>
  <w:style w:type="paragraph" w:customStyle="1" w:styleId="50">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51">
    <w:name w:val="标题 1 Char"/>
    <w:link w:val="3"/>
    <w:qFormat/>
    <w:uiPriority w:val="0"/>
    <w:rPr>
      <w:rFonts w:ascii="Arial" w:hAnsi="Arial" w:eastAsia="仿宋_GB2312"/>
      <w:sz w:val="28"/>
      <w:lang w:bidi="he-IL"/>
    </w:rPr>
  </w:style>
  <w:style w:type="character" w:customStyle="1" w:styleId="52">
    <w:name w:val="标题 2 Char"/>
    <w:basedOn w:val="36"/>
    <w:link w:val="4"/>
    <w:qFormat/>
    <w:uiPriority w:val="0"/>
    <w:rPr>
      <w:rFonts w:ascii="Arial" w:hAnsi="Arial" w:eastAsia="黑体"/>
      <w:b/>
      <w:bCs/>
      <w:sz w:val="32"/>
      <w:szCs w:val="32"/>
    </w:rPr>
  </w:style>
  <w:style w:type="character" w:customStyle="1" w:styleId="53">
    <w:name w:val="纯文本 Char"/>
    <w:link w:val="15"/>
    <w:qFormat/>
    <w:uiPriority w:val="0"/>
    <w:rPr>
      <w:rFonts w:ascii="宋体" w:hAnsi="Courier New" w:eastAsia="宋体"/>
      <w:kern w:val="2"/>
      <w:sz w:val="21"/>
      <w:lang w:val="en-US" w:eastAsia="zh-CN" w:bidi="ar-SA"/>
    </w:rPr>
  </w:style>
  <w:style w:type="character" w:customStyle="1" w:styleId="54">
    <w:name w:val="日期 Char"/>
    <w:link w:val="17"/>
    <w:qFormat/>
    <w:uiPriority w:val="0"/>
    <w:rPr>
      <w:rFonts w:ascii="仿宋_GB2312" w:eastAsia="仿宋_GB2312"/>
      <w:kern w:val="2"/>
      <w:sz w:val="30"/>
      <w:lang w:val="en-US" w:eastAsia="zh-CN" w:bidi="he-IL"/>
    </w:rPr>
  </w:style>
  <w:style w:type="character" w:customStyle="1" w:styleId="55">
    <w:name w:val="批注框文本 Char"/>
    <w:link w:val="19"/>
    <w:semiHidden/>
    <w:qFormat/>
    <w:uiPriority w:val="0"/>
    <w:rPr>
      <w:rFonts w:eastAsia="宋体"/>
      <w:kern w:val="2"/>
      <w:sz w:val="18"/>
      <w:szCs w:val="18"/>
      <w:lang w:val="en-US" w:eastAsia="zh-CN" w:bidi="ar-SA"/>
    </w:rPr>
  </w:style>
  <w:style w:type="character" w:customStyle="1" w:styleId="56">
    <w:name w:val="页脚 Char"/>
    <w:link w:val="20"/>
    <w:qFormat/>
    <w:uiPriority w:val="0"/>
    <w:rPr>
      <w:rFonts w:eastAsia="宋体"/>
      <w:kern w:val="2"/>
      <w:sz w:val="18"/>
      <w:lang w:val="en-US" w:eastAsia="zh-CN" w:bidi="he-IL"/>
    </w:rPr>
  </w:style>
  <w:style w:type="character" w:customStyle="1" w:styleId="57">
    <w:name w:val="页眉 Char"/>
    <w:link w:val="21"/>
    <w:qFormat/>
    <w:uiPriority w:val="0"/>
    <w:rPr>
      <w:rFonts w:eastAsia="宋体"/>
      <w:kern w:val="2"/>
      <w:sz w:val="18"/>
      <w:szCs w:val="18"/>
      <w:lang w:val="en-US" w:eastAsia="zh-CN" w:bidi="ar-SA"/>
    </w:rPr>
  </w:style>
  <w:style w:type="character" w:customStyle="1" w:styleId="58">
    <w:name w:val="hg"/>
    <w:qFormat/>
    <w:uiPriority w:val="0"/>
  </w:style>
  <w:style w:type="character" w:customStyle="1" w:styleId="59">
    <w:name w:val="zz"/>
    <w:basedOn w:val="36"/>
    <w:qFormat/>
    <w:uiPriority w:val="0"/>
  </w:style>
  <w:style w:type="character" w:customStyle="1" w:styleId="60">
    <w:name w:val="style31"/>
    <w:qFormat/>
    <w:uiPriority w:val="0"/>
    <w:rPr>
      <w:color w:val="FF6600"/>
    </w:rPr>
  </w:style>
  <w:style w:type="character" w:customStyle="1" w:styleId="61">
    <w:name w:val="正文-段落 Char"/>
    <w:link w:val="62"/>
    <w:qFormat/>
    <w:uiPriority w:val="0"/>
    <w:rPr>
      <w:rFonts w:ascii="宋体" w:hAnsi="宋体"/>
      <w:color w:val="000000"/>
      <w:kern w:val="2"/>
      <w:sz w:val="24"/>
      <w:lang w:bidi="ar-SA"/>
    </w:rPr>
  </w:style>
  <w:style w:type="paragraph" w:customStyle="1" w:styleId="62">
    <w:name w:val="正文-段落"/>
    <w:basedOn w:val="9"/>
    <w:link w:val="61"/>
    <w:qFormat/>
    <w:uiPriority w:val="0"/>
    <w:pPr>
      <w:spacing w:line="300" w:lineRule="auto"/>
      <w:ind w:left="34" w:leftChars="14" w:firstLine="392" w:firstLineChars="0"/>
      <w:jc w:val="left"/>
    </w:pPr>
    <w:rPr>
      <w:rFonts w:ascii="宋体" w:hAnsi="宋体"/>
      <w:color w:val="000000"/>
      <w:sz w:val="24"/>
    </w:rPr>
  </w:style>
  <w:style w:type="paragraph" w:customStyle="1" w:styleId="63">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64">
    <w:name w:val="样式 标题 2 + 宋体 五号 行距: 单倍行距"/>
    <w:basedOn w:val="4"/>
    <w:qFormat/>
    <w:uiPriority w:val="0"/>
    <w:pPr>
      <w:spacing w:line="240" w:lineRule="auto"/>
    </w:pPr>
    <w:rPr>
      <w:rFonts w:ascii="宋体" w:hAnsi="宋体" w:eastAsia="宋体"/>
      <w:sz w:val="21"/>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tgt1"/>
    <w:basedOn w:val="1"/>
    <w:qFormat/>
    <w:uiPriority w:val="0"/>
    <w:pPr>
      <w:widowControl/>
      <w:spacing w:after="136"/>
      <w:jc w:val="left"/>
    </w:pPr>
    <w:rPr>
      <w:rFonts w:ascii="宋体" w:hAnsi="宋体" w:cs="宋体"/>
      <w:kern w:val="0"/>
      <w:sz w:val="24"/>
      <w:szCs w:val="24"/>
    </w:rPr>
  </w:style>
  <w:style w:type="paragraph" w:customStyle="1" w:styleId="67">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styleId="68">
    <w:name w:val="List Paragraph"/>
    <w:basedOn w:val="1"/>
    <w:qFormat/>
    <w:uiPriority w:val="0"/>
    <w:pPr>
      <w:ind w:firstLine="420" w:firstLineChars="200"/>
    </w:pPr>
    <w:rPr>
      <w:rFonts w:ascii="Calibri" w:hAnsi="Calibri"/>
      <w:szCs w:val="22"/>
    </w:rPr>
  </w:style>
  <w:style w:type="paragraph" w:customStyle="1" w:styleId="69">
    <w:name w:val=" Char Char Char"/>
    <w:basedOn w:val="1"/>
    <w:qFormat/>
    <w:uiPriority w:val="0"/>
  </w:style>
  <w:style w:type="paragraph" w:styleId="70">
    <w:name w:val="No Spacing"/>
    <w:qFormat/>
    <w:uiPriority w:val="0"/>
    <w:pPr>
      <w:widowControl w:val="0"/>
      <w:jc w:val="both"/>
    </w:pPr>
    <w:rPr>
      <w:rFonts w:ascii="黑体" w:hAnsi="黑体" w:eastAsia="宋体" w:cs="黑体"/>
      <w:kern w:val="2"/>
      <w:sz w:val="21"/>
      <w:szCs w:val="24"/>
      <w:lang w:val="en-US" w:eastAsia="zh-CN" w:bidi="ar-SA"/>
    </w:rPr>
  </w:style>
  <w:style w:type="paragraph" w:customStyle="1" w:styleId="71">
    <w:name w:val="样式1"/>
    <w:basedOn w:val="6"/>
    <w:qFormat/>
    <w:uiPriority w:val="0"/>
    <w:pPr>
      <w:spacing w:line="300" w:lineRule="exact"/>
    </w:pPr>
    <w:rPr>
      <w:rFonts w:ascii="Times New Roman" w:hAnsi="Times New Roman" w:eastAsia="宋体"/>
      <w:sz w:val="24"/>
    </w:rPr>
  </w:style>
  <w:style w:type="paragraph" w:customStyle="1" w:styleId="72">
    <w:name w:val=" Char"/>
    <w:basedOn w:val="1"/>
    <w:qFormat/>
    <w:uiPriority w:val="0"/>
  </w:style>
  <w:style w:type="paragraph" w:customStyle="1" w:styleId="73">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74">
    <w:name w:val="正文段"/>
    <w:basedOn w:val="1"/>
    <w:qFormat/>
    <w:uiPriority w:val="0"/>
    <w:pPr>
      <w:widowControl/>
      <w:adjustRightInd w:val="0"/>
      <w:spacing w:after="240" w:afterLines="0" w:line="360" w:lineRule="atLeast"/>
      <w:ind w:firstLine="454"/>
      <w:textAlignment w:val="bottom"/>
    </w:pPr>
    <w:rPr>
      <w:rFonts w:ascii="宋体"/>
      <w:kern w:val="0"/>
      <w:sz w:val="24"/>
    </w:rPr>
  </w:style>
  <w:style w:type="paragraph" w:customStyle="1" w:styleId="75">
    <w:name w:val="文档1"/>
    <w:basedOn w:val="1"/>
    <w:qFormat/>
    <w:uiPriority w:val="0"/>
    <w:pPr>
      <w:spacing w:line="560" w:lineRule="exact"/>
      <w:ind w:firstLine="200" w:firstLineChars="200"/>
    </w:pPr>
    <w:rPr>
      <w:rFonts w:eastAsia="方正仿宋简体"/>
      <w:sz w:val="32"/>
      <w:szCs w:val="32"/>
    </w:rPr>
  </w:style>
  <w:style w:type="paragraph" w:customStyle="1" w:styleId="76">
    <w:name w:val=" Char Char Char Char Char Char Char Char Char Char Char Char Char Char Char Char Char Char Char Char1 Char"/>
    <w:basedOn w:val="1"/>
    <w:qFormat/>
    <w:uiPriority w:val="0"/>
    <w:rPr>
      <w:szCs w:val="24"/>
    </w:rPr>
  </w:style>
  <w:style w:type="paragraph" w:customStyle="1" w:styleId="77">
    <w:name w:val="标题6"/>
    <w:basedOn w:val="1"/>
    <w:next w:val="3"/>
    <w:qFormat/>
    <w:uiPriority w:val="0"/>
    <w:pPr>
      <w:widowControl/>
      <w:snapToGrid w:val="0"/>
      <w:spacing w:before="50" w:beforeLines="50" w:after="50" w:afterLines="50" w:line="520" w:lineRule="atLeast"/>
      <w:ind w:firstLine="200" w:firstLineChars="200"/>
    </w:pPr>
    <w:rPr>
      <w:rFonts w:cs="Arial"/>
      <w:b/>
      <w:sz w:val="24"/>
      <w:szCs w:val="24"/>
    </w:rPr>
  </w:style>
  <w:style w:type="paragraph" w:customStyle="1" w:styleId="7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p0"/>
    <w:basedOn w:val="1"/>
    <w:qFormat/>
    <w:uiPriority w:val="0"/>
    <w:pPr>
      <w:widowControl/>
      <w:jc w:val="left"/>
    </w:pPr>
    <w:rPr>
      <w:kern w:val="0"/>
      <w:sz w:val="20"/>
    </w:rPr>
  </w:style>
  <w:style w:type="paragraph" w:customStyle="1" w:styleId="81">
    <w:name w:val=" Char Char Char Char Char Char Char Char Char"/>
    <w:basedOn w:val="1"/>
    <w:qFormat/>
    <w:uiPriority w:val="0"/>
    <w:rPr>
      <w:szCs w:val="21"/>
    </w:rPr>
  </w:style>
  <w:style w:type="paragraph" w:customStyle="1" w:styleId="82">
    <w:name w:val="列出段落1"/>
    <w:basedOn w:val="1"/>
    <w:qFormat/>
    <w:uiPriority w:val="0"/>
    <w:pPr>
      <w:ind w:firstLine="420" w:firstLineChars="200"/>
    </w:pPr>
    <w:rPr>
      <w:szCs w:val="24"/>
    </w:rPr>
  </w:style>
  <w:style w:type="paragraph" w:customStyle="1" w:styleId="83">
    <w:name w:val="xl31"/>
    <w:basedOn w:val="1"/>
    <w:qFormat/>
    <w:uiPriority w:val="0"/>
    <w:pPr>
      <w:widowControl/>
      <w:spacing w:before="100" w:beforeAutospacing="1" w:after="100" w:afterAutospacing="1"/>
      <w:jc w:val="center"/>
    </w:pPr>
    <w:rPr>
      <w:rFonts w:ascii="宋体" w:hAnsi="宋体" w:eastAsia="仿宋_GB2312"/>
      <w:b/>
      <w:kern w:val="0"/>
      <w:sz w:val="28"/>
      <w:szCs w:val="32"/>
    </w:rPr>
  </w:style>
  <w:style w:type="paragraph" w:customStyle="1" w:styleId="84">
    <w:name w:val="Char Char Char Char Char Char Char1 Char"/>
    <w:basedOn w:val="1"/>
    <w:qFormat/>
    <w:uiPriority w:val="0"/>
    <w:rPr>
      <w:rFonts w:ascii="Tahoma" w:hAnsi="Tahoma"/>
      <w:sz w:val="24"/>
    </w:rPr>
  </w:style>
  <w:style w:type="paragraph" w:customStyle="1" w:styleId="85">
    <w:name w:val="Char Char Char Char"/>
    <w:basedOn w:val="10"/>
    <w:qFormat/>
    <w:uiPriority w:val="0"/>
    <w:pPr>
      <w:adjustRightInd w:val="0"/>
      <w:snapToGrid w:val="0"/>
      <w:spacing w:line="360" w:lineRule="auto"/>
    </w:pPr>
  </w:style>
  <w:style w:type="paragraph" w:customStyle="1" w:styleId="86">
    <w:name w:val="D&amp;L"/>
    <w:basedOn w:val="21"/>
    <w:qFormat/>
    <w:uiPriority w:val="0"/>
    <w:pPr>
      <w:pBdr>
        <w:bottom w:val="thinThickSmallGap" w:color="auto" w:sz="18" w:space="1"/>
      </w:pBdr>
      <w:adjustRightInd w:val="0"/>
      <w:snapToGrid/>
      <w:spacing w:line="240" w:lineRule="atLeast"/>
    </w:pPr>
    <w:rPr>
      <w:kern w:val="0"/>
      <w:sz w:val="24"/>
      <w:szCs w:val="20"/>
    </w:rPr>
  </w:style>
  <w:style w:type="paragraph" w:customStyle="1" w:styleId="87">
    <w:name w:val=" Char1"/>
    <w:basedOn w:val="1"/>
    <w:qFormat/>
    <w:uiPriority w:val="0"/>
    <w:rPr>
      <w:rFonts w:ascii="仿宋_GB2312" w:eastAsia="仿宋_GB2312"/>
      <w:b/>
      <w:sz w:val="32"/>
      <w:szCs w:val="32"/>
    </w:rPr>
  </w:style>
  <w:style w:type="character" w:customStyle="1" w:styleId="88">
    <w:name w:val="layui-this"/>
    <w:basedOn w:val="36"/>
    <w:qFormat/>
    <w:uiPriority w:val="0"/>
    <w:rPr>
      <w:bdr w:val="single" w:color="EEEEEE" w:sz="6" w:space="0"/>
      <w:shd w:val="clear" w:color="auto" w:fill="FFFFFF"/>
    </w:rPr>
  </w:style>
  <w:style w:type="character" w:customStyle="1" w:styleId="89">
    <w:name w:val="first-child2"/>
    <w:basedOn w:val="36"/>
    <w:qFormat/>
    <w:uiPriority w:val="0"/>
  </w:style>
  <w:style w:type="character" w:customStyle="1" w:styleId="90">
    <w:name w:val="hover"/>
    <w:basedOn w:val="36"/>
    <w:qFormat/>
    <w:uiPriority w:val="0"/>
    <w:rPr>
      <w:u w:val="single"/>
    </w:rPr>
  </w:style>
  <w:style w:type="character" w:customStyle="1" w:styleId="91">
    <w:name w:val="first-child1"/>
    <w:basedOn w:val="36"/>
    <w:qFormat/>
    <w:uiPriority w:val="0"/>
  </w:style>
  <w:style w:type="character" w:customStyle="1" w:styleId="92">
    <w:name w:val="bsharetext"/>
    <w:basedOn w:val="36"/>
    <w:qFormat/>
    <w:uiPriority w:val="0"/>
  </w:style>
  <w:style w:type="table" w:customStyle="1" w:styleId="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安徽省政府采购中心</Company>
  <Pages>31</Pages>
  <Words>1574</Words>
  <Characters>1769</Characters>
  <Lines>94</Lines>
  <Paragraphs>26</Paragraphs>
  <TotalTime>15</TotalTime>
  <ScaleCrop>false</ScaleCrop>
  <LinksUpToDate>false</LinksUpToDate>
  <CharactersWithSpaces>1870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2013-09-02T15:51:00Z</dcterms:created>
  <dc:creator>邓建成</dc:creator>
  <cp:lastModifiedBy>Wardo7</cp:lastModifiedBy>
  <cp:lastPrinted>2022-12-07T08:05:00Z</cp:lastPrinted>
  <dcterms:modified xsi:type="dcterms:W3CDTF">2025-09-16T11:58:47Z</dcterms:modified>
  <dc:title>目    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4DD1DED965FB4B439727D68089036254_13</vt:lpwstr>
  </property>
  <property fmtid="{D5CDD505-2E9C-101B-9397-08002B2CF9AE}" pid="4" name="KSOTemplateDocerSaveRecord">
    <vt:lpwstr>eyJoZGlkIjoiNDU1MjQ3NzdiNDkwYWIxNjUxNjA5NjA5NmQ1YTk0YzIiLCJ1c2VySWQiOiI1MTM5NDQxOTgifQ==</vt:lpwstr>
  </property>
</Properties>
</file>