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黑体" w:hAnsi="黑体" w:eastAsia="黑体" w:cs="黑体"/>
          <w:szCs w:val="32"/>
        </w:rPr>
      </w:pPr>
      <w:r>
        <w:rPr>
          <w:rFonts w:hint="eastAsia" w:ascii="黑体" w:hAnsi="黑体" w:eastAsia="黑体" w:cs="黑体"/>
          <w:szCs w:val="32"/>
        </w:rPr>
        <w:t>附件1</w:t>
      </w:r>
    </w:p>
    <w:p>
      <w:pPr>
        <w:keepNext w:val="0"/>
        <w:keepLines w:val="0"/>
        <w:pageBreakBefore w:val="0"/>
        <w:widowControl w:val="0"/>
        <w:kinsoku/>
        <w:wordWrap w:val="0"/>
        <w:overflowPunct/>
        <w:topLinePunct w:val="0"/>
        <w:autoSpaceDE/>
        <w:autoSpaceDN/>
        <w:bidi w:val="0"/>
        <w:adjustRightInd/>
        <w:snapToGrid/>
        <w:spacing w:line="600" w:lineRule="exact"/>
        <w:jc w:val="both"/>
        <w:textAlignment w:val="auto"/>
        <w:rPr>
          <w:rFonts w:hint="eastAsia" w:ascii="黑体" w:hAnsi="黑体" w:eastAsia="黑体" w:cs="黑体"/>
          <w:szCs w:val="32"/>
        </w:rPr>
      </w:pPr>
    </w:p>
    <w:p>
      <w:pPr>
        <w:keepNext w:val="0"/>
        <w:keepLines w:val="0"/>
        <w:pageBreakBefore w:val="0"/>
        <w:widowControl w:val="0"/>
        <w:kinsoku/>
        <w:overflowPunct/>
        <w:topLinePunct w:val="0"/>
        <w:autoSpaceDE/>
        <w:autoSpaceDN/>
        <w:bidi w:val="0"/>
        <w:adjustRightInd/>
        <w:snapToGrid/>
        <w:spacing w:line="600" w:lineRule="exact"/>
        <w:ind w:firstLine="2120" w:firstLineChars="482"/>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结余留用资金计算公式</w:t>
      </w:r>
    </w:p>
    <w:p>
      <w:pPr>
        <w:keepNext w:val="0"/>
        <w:keepLines w:val="0"/>
        <w:pageBreakBefore w:val="0"/>
        <w:widowControl w:val="0"/>
        <w:kinsoku/>
        <w:overflowPunct/>
        <w:topLinePunct w:val="0"/>
        <w:autoSpaceDE/>
        <w:autoSpaceDN/>
        <w:bidi w:val="0"/>
        <w:adjustRightInd/>
        <w:snapToGrid/>
        <w:spacing w:line="600" w:lineRule="exact"/>
        <w:ind w:firstLine="592" w:firstLineChars="185"/>
        <w:textAlignment w:val="auto"/>
        <w:rPr>
          <w:rFonts w:ascii="仿宋" w:hAnsi="仿宋" w:eastAsia="仿宋"/>
          <w:szCs w:val="32"/>
        </w:rPr>
      </w:pPr>
    </w:p>
    <w:p>
      <w:pPr>
        <w:keepNext w:val="0"/>
        <w:keepLines w:val="0"/>
        <w:pageBreakBefore w:val="0"/>
        <w:widowControl w:val="0"/>
        <w:kinsoku/>
        <w:overflowPunct/>
        <w:topLinePunct w:val="0"/>
        <w:autoSpaceDE/>
        <w:autoSpaceDN/>
        <w:bidi w:val="0"/>
        <w:adjustRightInd/>
        <w:snapToGrid/>
        <w:spacing w:line="600" w:lineRule="exact"/>
        <w:ind w:firstLine="592" w:firstLineChars="185"/>
        <w:textAlignment w:val="auto"/>
        <w:rPr>
          <w:rFonts w:hint="eastAsia" w:ascii="仿宋" w:hAnsi="仿宋" w:eastAsia="仿宋"/>
          <w:szCs w:val="32"/>
          <w:lang w:eastAsia="zh-CN"/>
        </w:rPr>
      </w:pPr>
      <w:r>
        <w:rPr>
          <w:rFonts w:hint="eastAsia" w:ascii="仿宋" w:hAnsi="仿宋" w:eastAsia="仿宋"/>
          <w:szCs w:val="32"/>
        </w:rPr>
        <w:t>（一）集采药品医保资金预算＝约定采购量基数×集采前通用名药品加权平均价格×统筹地区医保基金实际支付比例×集采通用名药品统筹地区参保患者使用量占比</w:t>
      </w:r>
      <w:r>
        <w:rPr>
          <w:rFonts w:hint="eastAsia" w:ascii="仿宋" w:hAnsi="仿宋" w:eastAsia="仿宋"/>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592" w:firstLineChars="185"/>
        <w:textAlignment w:val="auto"/>
        <w:rPr>
          <w:rFonts w:hint="eastAsia" w:ascii="仿宋" w:hAnsi="仿宋" w:eastAsia="仿宋"/>
          <w:szCs w:val="32"/>
          <w:lang w:eastAsia="zh-CN"/>
        </w:rPr>
      </w:pPr>
      <w:r>
        <w:rPr>
          <w:rFonts w:hint="eastAsia" w:ascii="仿宋" w:hAnsi="仿宋" w:eastAsia="仿宋"/>
          <w:szCs w:val="32"/>
        </w:rPr>
        <w:t>（二）结余测算基数＝集采药品医保资金预算－（中选产品约定采购量×中选价格+非中选产品使用金额）×统筹地区医保基金实际平均报销比例×集采通用名药品统筹地区参保患者使用量占比</w:t>
      </w:r>
      <w:r>
        <w:rPr>
          <w:rFonts w:hint="eastAsia" w:ascii="仿宋" w:hAnsi="仿宋" w:eastAsia="仿宋"/>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592" w:firstLineChars="185"/>
        <w:textAlignment w:val="auto"/>
        <w:rPr>
          <w:rFonts w:hint="eastAsia" w:ascii="仿宋" w:hAnsi="仿宋" w:eastAsia="仿宋"/>
          <w:szCs w:val="32"/>
          <w:lang w:eastAsia="zh-CN"/>
        </w:rPr>
      </w:pPr>
      <w:r>
        <w:rPr>
          <w:rFonts w:hint="eastAsia" w:ascii="仿宋" w:hAnsi="仿宋" w:eastAsia="仿宋"/>
          <w:szCs w:val="32"/>
        </w:rPr>
        <w:t>（三）</w:t>
      </w:r>
      <w:r>
        <w:rPr>
          <w:rFonts w:ascii="仿宋" w:hAnsi="仿宋" w:eastAsia="仿宋"/>
          <w:szCs w:val="32"/>
        </w:rPr>
        <w:t>结余留用金额＝结余测算基数×结余留用比例</w:t>
      </w:r>
      <w:r>
        <w:rPr>
          <w:rFonts w:hint="eastAsia" w:ascii="仿宋" w:hAnsi="仿宋" w:eastAsia="仿宋"/>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 w:hAnsi="仿宋" w:eastAsia="仿宋"/>
          <w:szCs w:val="32"/>
          <w:lang w:eastAsia="zh-CN"/>
        </w:rPr>
      </w:pPr>
      <w:r>
        <w:rPr>
          <w:rFonts w:hint="eastAsia" w:ascii="仿宋" w:hAnsi="仿宋" w:eastAsia="仿宋"/>
          <w:szCs w:val="32"/>
        </w:rPr>
        <w:t>（四）计算参数</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1．约定采购量基数：参加集采医院上报约定采购量基数，并经市招采科核准。（由医院提供）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2．集采前通用名药品加权平均价格：全省统一标准。（由市招采科提供）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3．统筹地区医保基金实际支付比例（医保基金实际平均报销比例）：按照上一年度各统筹地区上报的国家法定报表确定比例执行，不区分职工医保和居民医保。（由市医保中心提供）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4．集采通用名药品统筹地区参保患者使用量占比：某医院某药品某统筹地区参保患者使用量/某医院某药品省内所有参保患者使用量。（由医院提供，各级医保中心核准）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5．中选药品约定采购量：省医药集中采购平台保量数据。（由市招采科提供）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6．中选价格：</w:t>
      </w:r>
      <w:r>
        <w:rPr>
          <w:rFonts w:hint="eastAsia"/>
          <w:color w:val="000000"/>
          <w:szCs w:val="32"/>
          <w:lang w:eastAsia="zh-CN"/>
        </w:rPr>
        <w:t>执行</w:t>
      </w:r>
      <w:r>
        <w:rPr>
          <w:rFonts w:hint="eastAsia"/>
          <w:color w:val="000000"/>
          <w:szCs w:val="32"/>
        </w:rPr>
        <w:t>国家组织集采药品</w:t>
      </w:r>
      <w:r>
        <w:rPr>
          <w:rFonts w:hint="eastAsia"/>
          <w:color w:val="000000"/>
          <w:szCs w:val="32"/>
          <w:lang w:eastAsia="zh-CN"/>
        </w:rPr>
        <w:t>安徽</w:t>
      </w:r>
      <w:r>
        <w:rPr>
          <w:rFonts w:hint="eastAsia"/>
          <w:color w:val="000000"/>
          <w:szCs w:val="32"/>
        </w:rPr>
        <w:t>中选结果。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color w:val="000000"/>
        </w:rPr>
      </w:pPr>
      <w:r>
        <w:rPr>
          <w:rFonts w:hint="eastAsia"/>
          <w:color w:val="000000"/>
          <w:szCs w:val="32"/>
        </w:rPr>
        <w:t>7．非中选产品使用金额：</w:t>
      </w:r>
      <w:r>
        <w:rPr>
          <w:color w:val="000000"/>
          <w:szCs w:val="32"/>
        </w:rPr>
        <w:t>同一</w:t>
      </w:r>
      <w:r>
        <w:rPr>
          <w:rFonts w:hint="eastAsia"/>
          <w:color w:val="000000"/>
          <w:szCs w:val="32"/>
        </w:rPr>
        <w:t>周</w:t>
      </w:r>
      <w:r>
        <w:rPr>
          <w:color w:val="000000"/>
          <w:szCs w:val="32"/>
        </w:rPr>
        <w:t>期内，</w:t>
      </w:r>
      <w:r>
        <w:rPr>
          <w:rFonts w:hint="eastAsia"/>
          <w:color w:val="000000"/>
          <w:szCs w:val="32"/>
        </w:rPr>
        <w:t>与中选产品同通用名、同集采报量相关剂型的非中选产品各规格在该医疗机构的采购总金额。（由医院提供，各级医保中心核准）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eastAsia="仿宋_GB2312"/>
          <w:color w:val="000000"/>
          <w:szCs w:val="32"/>
          <w:lang w:eastAsia="zh-CN"/>
        </w:rPr>
      </w:pPr>
      <w:r>
        <w:rPr>
          <w:rFonts w:hint="eastAsia"/>
          <w:color w:val="000000"/>
          <w:szCs w:val="32"/>
        </w:rPr>
        <w:t>8．结余留用比例：具体留用比例根</w:t>
      </w:r>
      <w:r>
        <w:rPr>
          <w:rFonts w:hint="eastAsia" w:ascii="仿宋_GB2312"/>
          <w:color w:val="000000"/>
          <w:szCs w:val="32"/>
        </w:rPr>
        <w:t>据参加集采医院考核结果确定</w:t>
      </w:r>
      <w:r>
        <w:rPr>
          <w:rFonts w:hint="eastAsia" w:ascii="仿宋_GB2312"/>
          <w:color w:val="000000"/>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仿宋_GB2312"/>
          <w:color w:val="000000"/>
          <w:szCs w:val="32"/>
        </w:rPr>
        <w:sectPr>
          <w:footerReference r:id="rId3" w:type="default"/>
          <w:footerReference r:id="rId4" w:type="even"/>
          <w:pgSz w:w="11906" w:h="16838"/>
          <w:pgMar w:top="1928" w:right="1417" w:bottom="1474" w:left="1587" w:header="851" w:footer="1361" w:gutter="0"/>
          <w:pgNumType w:fmt="numberInDash"/>
          <w:cols w:space="0" w:num="1"/>
          <w:rtlGutter w:val="0"/>
          <w:docGrid w:type="lines" w:linePitch="592" w:charSpace="0"/>
        </w:sectPr>
      </w:pPr>
      <w:bookmarkStart w:id="0" w:name="_GoBack"/>
      <w:bookmarkEnd w:id="0"/>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方正超大字符集"/>
    <w:panose1 w:val="02010601030101010101"/>
    <w:charset w:val="86"/>
    <w:family w:val="script"/>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60" w:lineRule="exact"/>
      <w:ind w:firstLine="280" w:firstLineChars="100"/>
      <w:jc w:val="both"/>
      <w:rPr>
        <w:rFonts w:ascii="宋体" w:hAnsi="宋体"/>
        <w:kern w:val="0"/>
        <w:sz w:val="28"/>
        <w:szCs w:val="28"/>
      </w:rPr>
    </w:pPr>
  </w:p>
  <w:p>
    <w:pPr>
      <w:pStyle w:val="3"/>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hint="eastAsia" w:ascii="宋体" w:hAnsi="宋体"/>
        <w:kern w:val="0"/>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1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w:t>
                </w:r>
                <w:r>
                  <w:rPr>
                    <w:rFonts w:ascii="宋体" w:hAnsi="宋体"/>
                    <w:kern w:val="0"/>
                    <w:sz w:val="28"/>
                    <w:szCs w:val="28"/>
                  </w:rPr>
                  <w:fldChar w:fldCharType="end"/>
                </w:r>
                <w:r>
                  <w:rPr>
                    <w:rFonts w:hint="eastAsia" w:ascii="宋体" w:hAnsi="宋体"/>
                    <w:kern w:val="0"/>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5552"/>
    <w:rsid w:val="00002068"/>
    <w:rsid w:val="000E6EAC"/>
    <w:rsid w:val="000F6035"/>
    <w:rsid w:val="0010123B"/>
    <w:rsid w:val="001647CA"/>
    <w:rsid w:val="00165AE2"/>
    <w:rsid w:val="00172D46"/>
    <w:rsid w:val="001C095F"/>
    <w:rsid w:val="001C5F63"/>
    <w:rsid w:val="00276BDA"/>
    <w:rsid w:val="002E245B"/>
    <w:rsid w:val="002F76A7"/>
    <w:rsid w:val="003747B5"/>
    <w:rsid w:val="00381CA5"/>
    <w:rsid w:val="003C039F"/>
    <w:rsid w:val="003C1BD9"/>
    <w:rsid w:val="003D7E28"/>
    <w:rsid w:val="003F7091"/>
    <w:rsid w:val="004320D4"/>
    <w:rsid w:val="004727F9"/>
    <w:rsid w:val="004E07B3"/>
    <w:rsid w:val="004F4365"/>
    <w:rsid w:val="00562ED2"/>
    <w:rsid w:val="005A5076"/>
    <w:rsid w:val="006020D7"/>
    <w:rsid w:val="00634A49"/>
    <w:rsid w:val="00662245"/>
    <w:rsid w:val="00675751"/>
    <w:rsid w:val="00761F6E"/>
    <w:rsid w:val="00762824"/>
    <w:rsid w:val="007C013B"/>
    <w:rsid w:val="008B7FA1"/>
    <w:rsid w:val="008D72A7"/>
    <w:rsid w:val="008F5AEE"/>
    <w:rsid w:val="00957109"/>
    <w:rsid w:val="00A47455"/>
    <w:rsid w:val="00AA713D"/>
    <w:rsid w:val="00AB0511"/>
    <w:rsid w:val="00AC21C0"/>
    <w:rsid w:val="00B30C0C"/>
    <w:rsid w:val="00B620F3"/>
    <w:rsid w:val="00C1426A"/>
    <w:rsid w:val="00C47010"/>
    <w:rsid w:val="00C60E2D"/>
    <w:rsid w:val="00C87A52"/>
    <w:rsid w:val="00CF3396"/>
    <w:rsid w:val="00D16E7E"/>
    <w:rsid w:val="00D267E2"/>
    <w:rsid w:val="00D65552"/>
    <w:rsid w:val="00D66364"/>
    <w:rsid w:val="00DC2B5A"/>
    <w:rsid w:val="00DC6520"/>
    <w:rsid w:val="00E51C04"/>
    <w:rsid w:val="00E60B20"/>
    <w:rsid w:val="00EB4C5A"/>
    <w:rsid w:val="00ED402E"/>
    <w:rsid w:val="00EF5A32"/>
    <w:rsid w:val="00FB21DD"/>
    <w:rsid w:val="00FB6E86"/>
    <w:rsid w:val="023109F3"/>
    <w:rsid w:val="0ACA75E7"/>
    <w:rsid w:val="0D3D422C"/>
    <w:rsid w:val="14300FA5"/>
    <w:rsid w:val="1F151478"/>
    <w:rsid w:val="28552364"/>
    <w:rsid w:val="2CFE76D9"/>
    <w:rsid w:val="33E63FC8"/>
    <w:rsid w:val="3BD26FBA"/>
    <w:rsid w:val="408D3231"/>
    <w:rsid w:val="49BC17A6"/>
    <w:rsid w:val="51B7684C"/>
    <w:rsid w:val="53642DE5"/>
    <w:rsid w:val="5D626183"/>
    <w:rsid w:val="61521C14"/>
    <w:rsid w:val="659D080C"/>
    <w:rsid w:val="682335C7"/>
    <w:rsid w:val="6D6D05B1"/>
    <w:rsid w:val="70CD24E9"/>
    <w:rsid w:val="78C07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0"/>
    <w:rPr>
      <w:rFonts w:ascii="Times New Roman" w:hAnsi="Times New Roman" w:eastAsia="仿宋_GB2312" w:cs="Times New Roman"/>
      <w:sz w:val="18"/>
      <w:szCs w:val="18"/>
    </w:rPr>
  </w:style>
  <w:style w:type="character" w:customStyle="1" w:styleId="9">
    <w:name w:val="页眉 Char"/>
    <w:basedOn w:val="7"/>
    <w:link w:val="4"/>
    <w:semiHidden/>
    <w:qFormat/>
    <w:uiPriority w:val="99"/>
    <w:rPr>
      <w:rFonts w:ascii="Times New Roman" w:hAnsi="Times New Roman" w:eastAsia="仿宋_GB2312" w:cs="Times New Roman"/>
      <w:sz w:val="18"/>
      <w:szCs w:val="18"/>
    </w:rPr>
  </w:style>
  <w:style w:type="character" w:customStyle="1" w:styleId="10">
    <w:name w:val="日期 Char"/>
    <w:basedOn w:val="7"/>
    <w:link w:val="2"/>
    <w:semiHidden/>
    <w:qFormat/>
    <w:uiPriority w:val="99"/>
    <w:rPr>
      <w:rFonts w:ascii="Times New Roman" w:hAnsi="Times New Roman" w:eastAsia="仿宋_GB2312"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2439</Characters>
  <Lines>20</Lines>
  <Paragraphs>5</Paragraphs>
  <TotalTime>1</TotalTime>
  <ScaleCrop>false</ScaleCrop>
  <LinksUpToDate>false</LinksUpToDate>
  <CharactersWithSpaces>2861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2021-03-05T07:55:00Z</dcterms:created>
  <dc:creator>Administrator</dc:creator>
  <cp:lastModifiedBy>dl</cp:lastModifiedBy>
  <cp:lastPrinted>2021-06-21T07:52:00Z</cp:lastPrinted>
  <dcterms:modified xsi:type="dcterms:W3CDTF">2021-06-21T10:33:02Z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F122C6ED13F14F7A9DE4BDE7C2627D40</vt:lpwstr>
  </property>
</Properties>
</file>